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GFAI</w:t>
      </w:r>
      <w:r>
        <w:rPr>
          <w:rFonts w:ascii="Calibri" w:hAnsi="Calibri"/>
          <w:b/>
          <w:color w:val="1A2010"/>
          <w:sz w:val="40"/>
        </w:rPr>
        <w:t xml:space="preserve">  Guardforce AI Co., Limited</w:t>
      </w:r>
    </w:p>
    <w:p>
      <w:pPr>
        <w:spacing w:after="120"/>
      </w:pPr>
      <w:r>
        <w:rPr>
          <w:rFonts w:ascii="Calibri" w:hAnsi="Calibri"/>
          <w:b/>
          <w:color w:val="6E8450"/>
          <w:sz w:val="18"/>
        </w:rPr>
        <w:t>GROWTH SLEEVE · 2026-09-09 · Inspire: 30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AI &amp; Robotics / Security Services · NASDAQ · Thailand</w:t>
      </w:r>
    </w:p>
    <w:p>
      <w:pPr>
        <w:spacing w:after="80"/>
      </w:pPr>
      <w:r>
        <w:rPr>
          <w:rFonts w:ascii="Calibri" w:hAnsi="Calibri"/>
          <w:b w:val="0"/>
          <w:color w:val="3A4A28"/>
          <w:sz w:val="20"/>
        </w:rPr>
        <w:t>Guardforce AI Co., Limited is an Asia-Pacific technology company evolving from legacy secured logistics (cash-in-transit, ATM management) into AI-driven solutions including robotics, smart retail, healthcare AI, and automated security. Led by CEO and Chairman Olivia Wang, the company reported FY2025 revenue of $35.23M (+8.0% YoY from continuing operations) with the AI, RaaS &amp; Smart Solutions segment growing 15.3% to represent 13.4% of revenue. The company acquired MGAI to integrate an LLM-based speech therapy platform serving 110,000+ patients. Net loss narrowed to $5.29M with R&amp;D investment up 115.4%. Market cap is approximately $10.8 million with cash of $23.45M ($0.94/share), exceeding the entire market capitalization.</w:t>
      </w:r>
    </w:p>
    <w:p>
      <w:r>
        <w:rPr>
          <w:rFonts w:ascii="Calibri" w:hAnsi="Calibri"/>
          <w:b/>
          <w:color w:val="6E8450"/>
          <w:sz w:val="18"/>
        </w:rPr>
        <w:t>1,000 Employees · https://www.guardforceai.com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Guardforce AI is in the midst of a multi-year pivot from legacy secured logistics to AI-powered solutions, with mixed execution results — earnings have declined 23% annually over 5 years despite the strategic shift [1]. FY2025 revenue was $35.23M with AI/RaaS/Smart Solutions growing 15.3% YoY but still only 13.4% of total revenue, meaning the legacy cash management business (86.6%) remains dominant. AI Deployment (1/2): The company has deployed AI robotics solutions across retail and security applications and acquired MGAI, which brings an LLM-based speech therapy platform with 110,000+ patients served [2]. However, AI revenue generation remains minimal ($0.5M target for MGAI in 2026), and the robotics solutions have not demonstrated commercial scalability. Market Share (0/2): Guardforce is a negligible player in both the legacy cash logistics market and the emerging AI robotics/healthcare AI markets. The $10.8M market cap and sub-$40M revenue position it as a micro-cap without meaningful market share in any segment. Product Pipeline (1/2): The MGAI acquisition provides a healthcare AI pipeline (speech therapy) with revenue targets of $0.5M (2026), $1M (2027), $1.5M (2028), and the company has multi-language AI voice interaction solutions for robotic applications [2]. R&amp;D Intensity (1/1): R&amp;D investment increased 115.4% YoY to $837,719, demonstrating commitment to AI capabilities despite constrained resources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Guardforce AI's articulated mission to 'build AI agents as productivity infrastructure' and create a 'super assistant for both personal and the professionals to make better decisions' is aspirational but disconnected from the company's current reality — 86.6% of revenue still comes from legacy cash management [2]. The gap between aspiration and execution undermines the mission's credibility. Community Impact (1/2): The MGAI acquisition brings genuine social impact through AI-powered children's speech therapy serving 110,000+ patients, which represents meaningful healthcare accessibility improvement [2]. However, this is a tiny, recently acquired business ($0.5M target revenue) rather than a core company initiative. Employee Retention (0/2): No employee satisfaction, turnover, or retention data is publicly available. The company has undergone significant executive leadership turnover with an entirely new C-suite appointed, which may signal organizational instability [3]. Insider Buying (1/2): CEO Olivia Wang has maintained her position since 2019 (5.5 years) and serves as both CEO and Chairman, demonstrating personal commitment. However, the 113% shareholder dilution in the past year represents severe value destruction for existing shareholders.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score is zero due to LIQUIDITY FLOOR failure: avg daily volume (~1,050,911 shares) multiplied by stock price ($0.35) yields approximately $367,819 in daily dollar volume, below the $1,000,000 minimum threshold [4]. The underlying financial picture is mixed — the balance sheet is unusually strong for a micro-cap with D/E of just 0.1% and $23.45M cash ($0.94/share) exceeding the entire $10.8M market cap, creating a deep value floor [4]. However, profitability is severely impaired: profit margin of -15% and ROE of -16.01% reflect persistent operating losses. Revenue growth of 8% from continuing operations shows modest improvement but is below the 10% target [1]. The 113% share dilution in the past year has devastated per-share economics despite improving headline metrics. The company is trading at a severe discount to its net cash position.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Guardforce AI shows some infinite game aspirations in its strategic pivot from legacy cash management to AI-powered solutions, but the execution gap between vision and reality, combined with severe shareholder dilution and leadership instability, pushes the assessment toward a finite mindset. The company's 'build AI agents as productivity infrastructure' mission is forward-looking but largely unfulfilled with 86.6% of revenue still from legacy operations. The MGAI healthcare AI acquisition demonstrates cause-driven investment, but the persistent losses and dilution suggest survival-mode decision-making rather than confident long-term building.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mission to 'build AI agents as productivity infrastructure' and the healthcare AI acquisition (children's speech therapy) suggest purpose beyond pure profit maximization [2]. However, the mission was recently articulated and remains disconnected from the company's dominant revenue source (cash logistics). A compelling just cause must be lived, not just stated — and with 86.6% of revenue from legacy operations and a shrinking overall business (earnings declining 23% annually over 5 years), the AI mission reads more as aspirational marketing than an operational reality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Guardforce has undergone significant executive team restructuring with new President (Lin Jia), CFO (Yu-Heng Brian Ma), and CTO (Mingchang Leonardo Liu) appointments, which can signal both organizational renewal and instability [3]. The complete C-suite turnover raises questions about cultural continuity and organizational trust. No employee engagement data, workplace culture indicators, or retention metrics are publicly available. For a company with operations across Asia-Pacific employing approximately 1,000 workers, the lack of workforce transparency is a concern.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Guardforce AI's leadership engages in competitive learning or views rivals as benchmarks for self-improvement. The company competes against much larger players in both legacy cash logistics (Brinks, Loomis) and emerging AI robotics (numerous well-funded competitors), but public communications focus on the company's own transformation narrative rather than competitive positioning or industry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strategic pivot from legacy secured logistics to AI-powered solutions represents a genuine attempt at business model transformation, willingness to evolve rather than defend an eroding competitive position [1]. The MGAI acquisition extends the transformation into healthcare AI, a completely new vertical. However, the pivot has been slow and capital-destructive — after years of transformation, AI revenue is still only 13.4% of total, and the 113% shareholder dilution suggests the pivot is being funded through value destruction rather than organic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Guardforce AI demonstrates courage in attempting to transform from a legacy cash management company into an AI technology company — a risky strategic pivot that most companies in similar positions would not attempt [2]. The MGAI acquisition and 115.4% R&amp;D increase show willingness to invest in an uncertain future. However, the courage is diminished by execution: persistent losses, massive shareholder dilution, and declining earnings suggest the bold bets have not yet translated into value creation. True courage must be paired with competence to earn the full score.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Guardforce AI at $0.35 per share presents a speculative deep-value case: the company trades at a $10.8M market cap against $23.45M in cash ($0.94/share), meaning the market is pricing the operating business at negative enterprise value [4]. FY2025 revenue was $35.23M with the AI segment growing 15.3% and R&amp;D investment up 115.4%, reflecting genuine commitment to the AI transformation [1]. The MGAI acquisition adds an LLM-based healthcare AI platform with 110,000+ patients and a revenue growth trajectory targeting $0.5M-$1.5M over 2026-2028 [2]. The net cash position provides a significant margin of safety, and the Inspire Impact Score of 30 (ALIGNED) with positive attribution for Employee Wellbeing and Ethical Labor Practices adds a faith-alignment tailwind for values-based investors.</w:t>
      </w:r>
    </w:p>
    <w:p>
      <w:pPr>
        <w:spacing w:after="120"/>
      </w:pPr>
      <w:r>
        <w:rPr>
          <w:rFonts w:ascii="Calibri" w:hAnsi="Calibri"/>
          <w:b w:val="0"/>
          <w:color w:val="3A4A28"/>
          <w:sz w:val="20"/>
        </w:rPr>
        <w:t>However, the IOWN framework scores this as a SELL primarily due to the zero Infrastructure score (liquidity floor failure) and fundamental execution concerns. The AI transformation is years behind schedule — after multiple leadership changes and significant capital deployment, the legacy cash management business still generates 86.6% of revenue while earnings have declined 23% annually over 5 years [1]. The 113% shareholder dilution in the past year is a severe governance red flag that has destroyed per-share value even as headline metrics improved. The stock's $0.35 price, micro-cap status, and thin daily volume (~$368K) make it untradeable for institutional investors. While the cash-exceeds-market-cap dynamic creates a theoretical floor, micro-cap companies can burn through cash reserves rapidly, and the persistent losses ($5.29M net loss in FY2025) continue to erode this safety margin. The AI pivot remains more aspiration than achievement.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MGAI healthcare AI integration driving new revenue stream with LLM-based speech therapy platform serving 110,000+ patients and targeting $0.5M revenue in 2026, $1M in 2027, representing the first commercialized AI revenue at scale [2]</w:t>
      </w:r>
    </w:p>
    <w:p>
      <w:pPr>
        <w:spacing w:before="40" w:after="40"/>
        <w:ind w:left="283"/>
      </w:pPr>
      <w:r>
        <w:rPr>
          <w:rFonts w:ascii="Calibri" w:hAnsi="Calibri"/>
          <w:b/>
          <w:color w:val="4A6B25"/>
          <w:sz w:val="20"/>
        </w:rPr>
        <w:t xml:space="preserve">2. </w:t>
      </w:r>
      <w:r>
        <w:rPr>
          <w:rFonts w:ascii="Calibri" w:hAnsi="Calibri"/>
          <w:b w:val="0"/>
          <w:color w:val="3A4A28"/>
          <w:sz w:val="20"/>
        </w:rPr>
        <w:t>Net cash position of $23.45M ($0.94/share) vs. $10.8M market cap ($0.35/share) creates deep value optionality — any improvement in operating performance or strategic transaction could unlock significant per-share value realization [4]</w:t>
      </w:r>
    </w:p>
    <w:p>
      <w:pPr>
        <w:spacing w:before="40" w:after="40"/>
        <w:ind w:left="283"/>
      </w:pPr>
      <w:r>
        <w:rPr>
          <w:rFonts w:ascii="Calibri" w:hAnsi="Calibri"/>
          <w:b/>
          <w:color w:val="4A6B25"/>
          <w:sz w:val="20"/>
        </w:rPr>
        <w:t xml:space="preserve">3. </w:t>
      </w:r>
      <w:r>
        <w:rPr>
          <w:rFonts w:ascii="Calibri" w:hAnsi="Calibri"/>
          <w:b w:val="0"/>
          <w:color w:val="3A4A28"/>
          <w:sz w:val="20"/>
        </w:rPr>
        <w:t>AI/RaaS segment growing 15.3% YoY with R&amp;D investment up 115.4% suggests accelerating pivot momentum that could reach an inflection point if AI revenue exceeds 25%+ of total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Chronic shareholder dilution: 113% increase in shares outstanding in the past year has destroyed per-share value and signals ongoing need for equity raises to fund operations, creating a structural headwind for equity returns [4]</w:t>
      </w:r>
    </w:p>
    <w:p>
      <w:pPr>
        <w:spacing w:before="40" w:after="40"/>
        <w:ind w:left="283"/>
      </w:pPr>
      <w:r>
        <w:rPr>
          <w:rFonts w:ascii="Calibri" w:hAnsi="Calibri"/>
          <w:b/>
          <w:color w:val="4A6B25"/>
          <w:sz w:val="20"/>
        </w:rPr>
        <w:t xml:space="preserve">2. </w:t>
      </w:r>
      <w:r>
        <w:rPr>
          <w:rFonts w:ascii="Calibri" w:hAnsi="Calibri"/>
          <w:b w:val="0"/>
          <w:color w:val="3A4A28"/>
          <w:sz w:val="20"/>
        </w:rPr>
        <w:t>Execution gap between AI vision and reality: after years of transformation, AI/RaaS generates only 13.4% of $35M total revenue while the legacy cash business declines, and earnings have fallen 23% annually over 5 years [1]</w:t>
      </w:r>
    </w:p>
    <w:p>
      <w:pPr>
        <w:spacing w:before="40" w:after="40"/>
        <w:ind w:left="283"/>
      </w:pPr>
      <w:r>
        <w:rPr>
          <w:rFonts w:ascii="Calibri" w:hAnsi="Calibri"/>
          <w:b/>
          <w:color w:val="4A6B25"/>
          <w:sz w:val="20"/>
        </w:rPr>
        <w:t xml:space="preserve">3. </w:t>
      </w:r>
      <w:r>
        <w:rPr>
          <w:rFonts w:ascii="Calibri" w:hAnsi="Calibri"/>
          <w:b w:val="0"/>
          <w:color w:val="3A4A28"/>
          <w:sz w:val="20"/>
        </w:rPr>
        <w:t>Micro-cap liquidity trap: $10.8M market cap and ~$368K daily dollar volume below the $1M threshold makes the stock untradeable for most investors and amplifies volatility risk on any negative development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NEUTRAL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Guardforce AI faces a bifurcated AI risk profile. The legacy secured logistics business (86.6% of revenue) is moderately threatened by digital payment adoption reducing cash-in-transit demand and by automation of ATM servicing [1]. However, physical cash management retains structural demand in Southeast Asian markets where cash usage remains prevalent, providing near-term protection. The company's active pivot toward AI solutions partially hedges disruption risk — rather than being disrupted by AI, Guardforce is attempting to become an AI company. The risk is execution: the pivot is early-stage with AI revenue at only 13.4% of total, and the company has yet to demonstrate commercial scalability. AI Opportunity (1/1): Guardforce has genuine AI optionality through its robotics platform, the MGAI speech therapy acquisition (LLM-based, 110,000+ patients), and multi-language AI voice interaction technology [2]. R&amp;D investment growing 115.4% signals accelerating AI commitment. If the AI pivot succeeds, the company transforms from AI disruption victim to AI beneficiary, though this remains speculative.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Guardforce AI FY2025 Financial Results — Revenue $35.23M (+8.0% YoY), AI Segment +15.3%, Net Loss $5.29M, R&amp;D +115.4% to $837K, Cash $24.55M — GlobeNewsWire, April 2026</w:t>
      </w:r>
    </w:p>
    <w:p>
      <w:pPr>
        <w:spacing w:before="20" w:after="20"/>
        <w:ind w:left="170"/>
      </w:pPr>
      <w:r>
        <w:rPr>
          <w:rFonts w:ascii="Calibri" w:hAnsi="Calibri"/>
          <w:b/>
          <w:color w:val="4A6B25"/>
          <w:sz w:val="15"/>
        </w:rPr>
        <w:t xml:space="preserve">2. </w:t>
      </w:r>
      <w:r>
        <w:rPr>
          <w:rFonts w:ascii="Calibri" w:hAnsi="Calibri"/>
          <w:b w:val="0"/>
          <w:color w:val="3A4A28"/>
          <w:sz w:val="17"/>
        </w:rPr>
        <w:t>Guardforce AI Strategic Transformation — MGAI Acquisition (LLM speech therapy, 110K patients), AI Agent Mission, CTO Leonardo Liu appointment — Yahoo Finance, Benzinga, SEC filings, 2024-2026</w:t>
      </w:r>
    </w:p>
    <w:p>
      <w:pPr>
        <w:spacing w:before="20" w:after="20"/>
        <w:ind w:left="170"/>
      </w:pPr>
      <w:r>
        <w:rPr>
          <w:rFonts w:ascii="Calibri" w:hAnsi="Calibri"/>
          <w:b/>
          <w:color w:val="4A6B25"/>
          <w:sz w:val="15"/>
        </w:rPr>
        <w:t xml:space="preserve">3. </w:t>
      </w:r>
      <w:r>
        <w:rPr>
          <w:rFonts w:ascii="Calibri" w:hAnsi="Calibri"/>
          <w:b w:val="0"/>
          <w:color w:val="3A4A28"/>
          <w:sz w:val="17"/>
        </w:rPr>
        <w:t>Guardforce AI Leadership — CEO Olivia Wang (since 2019), new executive team (President Lin Jia, CFO Brian Ma, CTO Leonardo Liu) — Simply Wall St, Proactive Investors, Benzinga</w:t>
      </w:r>
    </w:p>
    <w:p>
      <w:pPr>
        <w:spacing w:before="20" w:after="20"/>
        <w:ind w:left="170"/>
      </w:pPr>
      <w:r>
        <w:rPr>
          <w:rFonts w:ascii="Calibri" w:hAnsi="Calibri"/>
          <w:b/>
          <w:color w:val="4A6B25"/>
          <w:sz w:val="15"/>
        </w:rPr>
        <w:t xml:space="preserve">4. </w:t>
      </w:r>
      <w:r>
        <w:rPr>
          <w:rFonts w:ascii="Calibri" w:hAnsi="Calibri"/>
          <w:b w:val="0"/>
          <w:color w:val="3A4A28"/>
          <w:sz w:val="17"/>
        </w:rPr>
        <w:t>GFAI Financial Metrics — Stock $0.35, Market Cap $10.8M, D/E 0.1%, ROE -16.01%, Cash $23.45M, Avg Volume 1.05M — StockAnalysis, Yahoo Finance, CNBC,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