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GFS</w:t>
      </w:r>
      <w:r>
        <w:rPr>
          <w:rFonts w:ascii="Calibri" w:hAnsi="Calibri"/>
          <w:b/>
          <w:color w:val="1A2010"/>
          <w:sz w:val="40"/>
        </w:rPr>
        <w:t xml:space="preserve">  GLOBALFOUNDRIES Inc.</w:t>
      </w:r>
    </w:p>
    <w:p>
      <w:pPr>
        <w:spacing w:after="120"/>
      </w:pPr>
      <w:r>
        <w:rPr>
          <w:rFonts w:ascii="Calibri" w:hAnsi="Calibri"/>
          <w:b/>
          <w:color w:val="6E8450"/>
          <w:sz w:val="18"/>
        </w:rPr>
        <w:t>GROWTH SLEEVE · 2026-08-30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GlobalFoundries is the world's third-largest semiconductor foundry, operating fabrication facilities in the US (Malta, NY; Burlington, VT), Germany (Dresden), and Singapore. The company specializes in differentiated process technologies at mature and specialty nodes, deliberately avoiding the capital-intensive sub-7nm race dominated by TSMC and Samsung. Under new CEO Tim Breen (appointed February 2025, succeeding Thomas Caulfield as Executive Chairman), GF is pivoting toward 'Physical AI' with silicon photonics and silicon germanium platforms for AI data center connectivity. Q2 2026 revenue was $1.786B (+6% YoY), with full-year Communications Infrastructure and Data Center revenue guided to grow 50-60%. Market cap approximately $44.6B.</w:t>
      </w:r>
    </w:p>
    <w:p>
      <w:r>
        <w:rPr>
          <w:rFonts w:ascii="Calibri" w:hAnsi="Calibri"/>
          <w:b/>
          <w:color w:val="6E8450"/>
          <w:sz w:val="18"/>
        </w:rPr>
        <w:t>13,000 Employees · https://gf.com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GlobalFoundries executed a significant strategic pivot by deliberately exiting the leading-edge node race (7nm and below) in 2018 to focus on differentiated specialty process technologies — a decision that appeared contrarian at the time but has proven strategically sound [3]. This pivot opened new revenue streams in silicon photonics and silicon germanium platforms for AI data center connectivity, with Communications Infrastructure and Data Center revenue guided to grow 50-60% in FY2026 [1]. The strategic restraint is itself an innovation in the foundry business model. AI Deployment (1/2): GF has developed a 'Physical AI' strategy positioning its silicon photonics and SiGe platforms as critical enablers of AI data center infrastructure — connecting computing clusters with high-bandwidth, low-latency optical interconnects [3]. While GF does not manufacture AI compute chips, its differentiated process technologies are shipping to customers building AI infrastructure, representing measurable AI-adjacent revenue. Market Share (1/2): GF is the #3 semiconductor foundry globally behind TSMC and Samsung, with meaningful market share in automotive, IoT, and specialty semiconductor markets [4]. However, it has deliberately ceded leadership in advanced nodes, and its ~$7B annual revenue remains a fraction of TSMC's ~$85B+. Product Pipeline (1/2): Silicon photonics for AI data center interconnects, automotive chip platforms with growing semiconductor content per vehicle, and investment in Playground Global for early-stage innovation provide pipeline visibility [3]. However, specific next-generation platform launches with named dates are limited. R&amp;D Intensity (1/1): GF benefits from $675M in CHIPS Act government support and made a strategic investment in Playground Global to advance long-term technology innovation, demonstrating above-average commitment to R&amp;D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GlobalFoundries articulates its purpose around enabling essential technologies and semiconductor sovereignty — manufacturing the chips that power critical applications in automotive, IoT, defense, and communications infrastructure [3]. The mission is clear, connects to national security and technology sovereignty, but is not deeply distinctive in an industry where most foundries claim similar importance. Community Impact (1/2): GF's CHIPS Act-funded factory expansions in Malta, NY and Burlington, VT represent significant community investment through high-paying manufacturing jobs and economic development in upstate New York. The company has tied its growth narrative to U.S. semiconductor sovereignty and manufacturing job creation [3]. Employee Retention (1/2): The CEO transition from Thomas Caulfield to Tim Breen was handled smoothly, with Caulfield staying on as Executive Chairman, suggesting organizational maturity and leadership planning [3]. The company employs ~13,000 across multiple global sites with no reports of significant layoffs or cultural disruption. Insider Buying (0/2): GF is majority-owned by Mubadala Investment Company (Abu Dhabi sovereign wealth fund). No evidence of meaningful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GF's balance sheet strength is exceptional with D/E of only 15.0% ($1.72B debt against significant equity) and $3.0B in cash [4]. However, profitability metrics are modest: ROE of 6.84% reflects the capital-intensive foundry model and is well below the 15% target, while profit margin of 11.37% trails the 20% benchmark. Revenue growth has been anemic — TTM growth of only ~5% and a 5-year CAGR of approximately 1% reflect the revenue plateau from 2022's $8.1B peak through the 2023-2024 industry downturn [1][4]. The Forward P/E of 40.31 and PEG of 2.23 price in substantial future growth that has yet to materialize in the top line, with both metrics scoring below the midpoint of their respective ranges. The stock easily clears the liquidity floor with ~$393M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GlobalFoundries demonstrates a mix of infinite and finite game characteristics. The decision to abandon the leading-edge node race and focus on differentiated specialty technologies was a genuinely courageous long-term bet that prioritized sustainable competitive advantage over prestige — a hallmark of infinite game thinking. The smooth CEO transition and CHIPS Act alignment suggest organizational maturity. However, the company's majority ownership by Mubadala (a sovereign wealth fund) introduces financial-return-oriented governance, and the historical revenue volatility ($8.1B peak to $6.7B trough) suggests the company's strategy is still being validated.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GF articulates a genuine cause around semiconductor sovereignty and enabling the essential technologies that power modern life — from automotive safety to AI infrastructure to defense communications [3]. The decision to exit the leading-edge race and build a sustainable specialty foundry business reflects a purpose beyond simply maximizing revenue. The CHIPS Act alignment and U.S. manufacturing commitment connect the company's work to national security and economic resilience. However, the cause hasn't been tested through decades of consistent execution — the company's strategic refocus dates only to 2018, and the Mubadala ownership structure introduces governance tension between purpose and financial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Thomas Caulfield to Tim Breen was handled with organizational maturity — Caulfield stayed on as Executive Chairman, ensuring continuity, while Breen brought operational excellence from Mubadala [3]. The company operates 13,000 employees across global fab sites with no reports of significant layoffs or cultural disruption during the transition. However, limited public data on employee engagement or retention prevents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GF demonstrates an infinite competitive mindset by explicitly acknowledging TSMC's dominance in advanced nodes and choosing to compete on differentiation rather than trying to out-invest the world's largest foundry [3]. The decision to exit the leading-edge race was an implicit acknowledgment that TSMC's strengths in cutting-edge manufacturing are a worthy challenge that GF chose to learn from rather than fight head-on. GF competes to serve customers better in its chosen domains rather than to 'beat' TSMC.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GF pivoted from chasing leading-edge nodes (a race that consumed Intel and strained Samsung) to building a differentiated specialty foundry — a meaningful strategic evolution that redefined the company's competitive positioning [3]. More recently, the pivot to 'Physical AI' and silicon photonics for data centers represents further strategic adaptation. However, these are incremental evolutions of the core foundry business rather than transformative reinventions on the scale of Apple's platform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GF's decision to exit the sub-7nm node race in 2018 was a genuinely courageous strategic choice that sacrificed short-term prestige and potential revenue for long-term sustainability [3]. While competitors (Intel, Samsung) poured tens of billions into bleeding-edge nodes, GF chose to build a differentiated business at profitable nodes — a decision that looked risky at the time but has been validated by strong gross margins (27.6% in Q1 2026) and the growing demand for specialty semiconductors in AI, automotive, and defense. The investment in Playground Global for early-stage innovation also signals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GlobalFoundries at $80.63 is a specialty semiconductor foundry executing a strategic pivot into AI infrastructure connectivity — Q2 2026 revenue of $1.786B (+6% YoY) with Q3 guidance of $1.885B ($0.51 EPS) shows accelerating momentum, and Communications Infrastructure and Data Center revenue is guided to grow 50-60% for FY2026 driven by surging demand for silicon photonics and silicon germanium platforms that serve AI data center optical interconnects [1][2]. The company's low D/E of 15% and $3.0B cash position provide financial stability, while $675M in CHIPS Act government support de-risks the U.S. manufacturing expansion [3]. The deliberate decision to avoid the capital-intensive 3nm/2nm race and instead dominate profitable specialty nodes has created a sustainable competitive moat — GF serves markets (automotive, defense, IoT, data center connectivity) where process differentiation matters more than transistor density.</w:t>
      </w:r>
    </w:p>
    <w:p>
      <w:pPr>
        <w:spacing w:after="120"/>
      </w:pPr>
      <w:r>
        <w:rPr>
          <w:rFonts w:ascii="Calibri" w:hAnsi="Calibri"/>
          <w:b w:val="0"/>
          <w:color w:val="3A4A28"/>
          <w:sz w:val="20"/>
        </w:rPr>
        <w:t>The bear case centers on valuation disconnection, growth trajectory uncertainty, and structural profitability constraints. Forward P/E of 40.31 and PEG of 2.23 price in aggressive growth that has not yet materialized in the top line — TTM revenue growth of ~5% and a 5-year revenue CAGR of just 1% reflect a company that peaked at $8.1B in 2022 and has yet to regain that level [4]. ROE of 6.84% is well below the 15% target, reflecting the capital-intensive foundry model's structural drag on returns despite conservative leverage. GF's specialty node strategy, while defensible, limits the total addressable market relative to TSMC's leading-edge dominance — GF will never manufacture the most advanced AI chips. Mubadala's majority ownership creates governance risk as the sovereign wealth fund's return expectations may conflict with long-term infrastructure investment needs. The Inspire Impact Score of -49 (MISALIGNED) may limit allocation for faith-based investors despite 21 positive ESG attributions [3]. The revenue concentration in automotive (which faces EV demand uncertainty) and the unproven nature of the Physical AI revenue ramp add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Communications Infrastructure and Data Center revenue guided to grow 50-60% in FY2026 as AI data centers drive accelerating demand for GF's silicon photonics and silicon germanium platforms, potentially creating a structural growth inflection [1]</w:t>
      </w:r>
    </w:p>
    <w:p>
      <w:pPr>
        <w:spacing w:before="40" w:after="40"/>
        <w:ind w:left="283"/>
      </w:pPr>
      <w:r>
        <w:rPr>
          <w:rFonts w:ascii="Calibri" w:hAnsi="Calibri"/>
          <w:b/>
          <w:color w:val="4A6B25"/>
          <w:sz w:val="20"/>
        </w:rPr>
        <w:t xml:space="preserve">2. </w:t>
      </w:r>
      <w:r>
        <w:rPr>
          <w:rFonts w:ascii="Calibri" w:hAnsi="Calibri"/>
          <w:b w:val="0"/>
          <w:color w:val="3A4A28"/>
          <w:sz w:val="20"/>
        </w:rPr>
        <w:t>Q3 2026 revenue guidance of $1.885B with EPS of $0.51 at midpoint signals continued sequential improvement and margin expansion, with full-year trajectory pointing toward $7.2B+ revenue [1][2]</w:t>
      </w:r>
    </w:p>
    <w:p>
      <w:pPr>
        <w:spacing w:before="40" w:after="40"/>
        <w:ind w:left="283"/>
      </w:pPr>
      <w:r>
        <w:rPr>
          <w:rFonts w:ascii="Calibri" w:hAnsi="Calibri"/>
          <w:b/>
          <w:color w:val="4A6B25"/>
          <w:sz w:val="20"/>
        </w:rPr>
        <w:t xml:space="preserve">3. </w:t>
      </w:r>
      <w:r>
        <w:rPr>
          <w:rFonts w:ascii="Calibri" w:hAnsi="Calibri"/>
          <w:b w:val="0"/>
          <w:color w:val="3A4A28"/>
          <w:sz w:val="20"/>
        </w:rPr>
        <w:t>CHIPS Act $675M in government support de-risks U.S. fab expansion and positions GF as a primary beneficiary of semiconductor onshoring — additional government contracts and defense chip mandates could follow as geopolitical tensions sustain domestic manufacturing demand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40.31x prices in aggressive growth that a 1% 5-year revenue CAGR has not yet delivered — any deceleration in the Communications Infrastructure and Data Center segment growth trajectory could trigger significant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Structural ROE constraint of 6.84% reflects the capital-intensive foundry model, meaning GF may struggle to generate returns that justify its premium valuation relative to less capital-intensive semiconductor peers [4]</w:t>
      </w:r>
    </w:p>
    <w:p>
      <w:pPr>
        <w:spacing w:before="40" w:after="40"/>
        <w:ind w:left="283"/>
      </w:pPr>
      <w:r>
        <w:rPr>
          <w:rFonts w:ascii="Calibri" w:hAnsi="Calibri"/>
          <w:b/>
          <w:color w:val="4A6B25"/>
          <w:sz w:val="20"/>
        </w:rPr>
        <w:t xml:space="preserve">3. </w:t>
      </w:r>
      <w:r>
        <w:rPr>
          <w:rFonts w:ascii="Calibri" w:hAnsi="Calibri"/>
          <w:b w:val="0"/>
          <w:color w:val="3A4A28"/>
          <w:sz w:val="20"/>
        </w:rPr>
        <w:t>Automotive revenue, a key growth driver, faces uncertainty from global EV demand softness and potential inventory corrections that could reverse the 'low double-digit' growth guidance and expose the concentrated revenue mix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GlobalFoundries manufactures physical semiconductor chips — essential infrastructure that AI structurally cannot replace and in fact demands more of. AI data centers require massive quantities of chips for networking, optical connectivity, power management, and sensing — all areas where GF's specialty process technologies are directly relevant [3]. The company's silicon photonics platform, which cuts fiber installation time by enabling high-bandwidth optical interconnects, directly serves the AI infrastructure buildout. The foundry model is protected by enormous barriers to entry ($15B+ to build a single fab), long-term customer agreements, and the physical reality that software cannot manufacture hardware. The only structural risk is competitive displacement by TSMC or Samsung expanding into specialty nodes, but GF's process differentiation and geographic diversity (US/EU fabs with CHIPS Act backing) provide meaningful defense [1]. AI Opportunity (1/1): GF generates quantifiable AI-adjacent revenue through its Communications Infrastructure and Data Center segment, which is guided to grow 50-60% in FY2026 driven by accelerating demand for silicon photonics and silicon germanium platforms that serve AI data center connectivity [1]. This represents meaningful, measurable revenue directly tied to the AI infrastructure buildout.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GlobalFoundries Q2 2026 Earnings — Revenue $1.786B (+6% YoY), Non-IFRS EPS $0.46, Q3 Guidance $1.885B/$0.51 EPS, Comm Infra/Data Center +50-60% FY2026 Guidance — Motley Fool,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GlobalFoundries Q1 2026 Earnings — Revenue $1.634B (+3% YoY), Gross Margin 27.6%, EPS $0.40 vs. $0.35 Expected — Investing.com, 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GlobalFoundries Leadership and Strategy — CEO Tim Breen, Executive Chairman Caulfield, Physical AI Pivot, CHIPS Act $675M, Playground Global Investment — Manufacturing Dive, Investing.com, GlobeNewsWire,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GFS Key Statistics: Forward P/E 40.31, D/E 15.0%, ROE 6.84%, Profit Margin 11.37%, PEG 2.23, Stock Price $80.63, Market Cap $44.6B,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