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GLDG</w:t>
      </w:r>
      <w:r>
        <w:rPr>
          <w:rFonts w:ascii="Calibri" w:hAnsi="Calibri"/>
          <w:b/>
          <w:color w:val="1A2010"/>
          <w:sz w:val="40"/>
        </w:rPr>
        <w:t xml:space="preserve">  GoldMining Inc.</w:t>
      </w:r>
    </w:p>
    <w:p>
      <w:pPr>
        <w:spacing w:after="120"/>
      </w:pPr>
      <w:r>
        <w:rPr>
          <w:rFonts w:ascii="Calibri" w:hAnsi="Calibri"/>
          <w:b/>
          <w:color w:val="6E8450"/>
          <w:sz w:val="18"/>
        </w:rPr>
        <w:t>GROWTH SLEEVE · 2026-08-28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Gold Mining - Exploration · NYSE · Canada</w:t>
      </w:r>
    </w:p>
    <w:p>
      <w:pPr>
        <w:spacing w:after="80"/>
      </w:pPr>
      <w:r>
        <w:rPr>
          <w:rFonts w:ascii="Calibri" w:hAnsi="Calibri"/>
          <w:b w:val="0"/>
          <w:color w:val="3A4A28"/>
          <w:sz w:val="20"/>
        </w:rPr>
        <w:t>GoldMining Inc. is a mineral exploration company focused on acquiring, exploring, and developing gold and gold-copper projects across the Americas, with operations in Canada, the United States, Brazil, Colombia, and Peru. The company holds a resource base of approximately 22.1 million oz AuEq (13.1M Measured &amp; Indicated, 9.0M Inferred) and a 79% stake in U.S. GoldMining Inc. (NASDAQ: USGO). Pre-revenue exploration stage with approximately $185M in cash and securities against a market cap of ~$245M. Q1 2026 EPS of -$0.02.</w:t>
      </w:r>
    </w:p>
    <w:p>
      <w:r>
        <w:rPr>
          <w:rFonts w:ascii="Calibri" w:hAnsi="Calibri"/>
          <w:b/>
          <w:color w:val="6E8450"/>
          <w:sz w:val="18"/>
        </w:rPr>
        <w:t>50 Employees · https://www.goldmining.com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GoldMining has successfully built a diversified portfolio of 22.1M oz AuEq resources through disciplined counter-cyclical acquisition strategy, and completed the U.S. GoldMining (USGO) spin-off to unlock value in the Whistler project in Alaska [1]. However, the company remains pre-revenue with no production milestones achieved in its history. AI Deployment (0/2): No AI deployment or strategy evident — unsurprising for a small-cap exploration-stage company with approximately 50 employees [2]. AI Deployment (0/2): No AI products or internal AI savings reported. Market Share (0/2): GoldMining is a small participant in the gold exploration sector with a $220M market cap — it does not lead or define any market category [1]. Product Pipeline (1/2): Three Preliminary Economic Assessments delivered in 2025-2026 — Whistler (NPV5% of $2.0B, IRR 33%), La Mina (NPV5% of $1.0B), and Sao Jorge (NPV5% of $532M) — provide project-level visibility, though all remain pre-development with no construction decisions made [1]. R&amp;D Intensity (0/1): No meaningful R&amp;D expenditure; exploration spending is the primary investment activity.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GoldMining's stated purpose centers on 'acquiring and developing gold assets in the Americas' — a business description rather than a distinctive purpose statement connecting to something larger than profit [2]. The company exists to build and monetize a resource portfolio, which is a legitimate but not inspiring articulation. Community Impact (1/2): The company's 2024 Sustainability Report highlights 1,368 hours of safety training, zero reportable environmental incidents, 79% water recirculation rate, and 100% local hiring within operating countries [3]. Board diversity of 83% ethnic diversity and 33% female representation is notable for the mining sector. However, scale of community investment is limited given the small employee base and pre-revenue status. Employee Retention (0/2): No employee retention data available — the company has approximately 50 employees and no public information on tenure or turnover. Insider Buying (1/2): Chairman Amir Adnani maintains significant equity positions across GoldMining and related entities (Uranium Energy Corp), suggesting alignment, though no specific net insider buying data was identified for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GoldMining is a pre-revenue exploration company generating $0 in operating revenue with negative ROE of -9.8% and 0% profit margin [1]. The sole positive metric is an exceptionally low D/E ratio of 0.11% — the company carries essentially zero debt against $185M in cash and publicly traded securities, providing strong balance sheet protection [1]. Forward P/E and PEG ratios are not applicable due to negative earnings. Revenue growth metrics are excluded as the company has no revenue. The stock trades near cash value ($185M in assets vs. ~$245M market cap), which provides downside protection but also reflects the market's skepticism about the gap between resource PEA valuations ($3.5B+ combined NPV) and realizable value. Barely clears the liquidity floor with ~$1.25M in daily trading value (1.08M shares × $1.16)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GoldMining operates with a primarily finite mindset focused on asset accumulation and value monetization rather than building an enduring operating company. The counter-cyclical acquisition strategy is financially disciplined, but the company's purpose is fundamentally transactional — buy resources at low prices, hold them, and sell or develop when prices rise. There is no evidence of a Just Cause that would sustain the organization beyond its current portfolio realization strategy.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GoldMining's stated purpose of 'acquiring and developing gold assets in the Americas' is a business strategy, not a Just Cause in Sinek's framework [2]. The company exists to identify undervalued gold resources and monetize them — a legitimate financial strategy but not a vision of a future state so appealing that people would sacrifice to advance it. There is no articulated vision of how mining should be done differently, no commitment to transforming communities, and no enduring purpose that would survive the depletion of the current resource base.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approximately 50 employees and 100% local hiring across operating countries, GoldMining likely operates with the intimacy of a small team [3]. CEO Alastair Still's 25+ years of mining experience (Newmont, Goldcorp, Kinross, Placer Dome) and Chairman Adnani's serial entrepreneurial track record suggest experienced leadership [2]. Board diversity of 83% ethnic and 33% female representation is strong. However, no employee sentiment data is available for a company this small, and frequent reliance on contractors rather than permanent staff limits organizational trust-building.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framing in GoldMining's public communications — the company operates in its own niche of counter-cyclical resource acquisition without acknowledging specific rivals or using competitive pressure to improve. The company does not reference peers like Osisko, First Mining Gold, or other exploration juniors in a way that suggests learning from their strengths. The small-cap exploration space tends toward promotional rather than reflective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GoldMining has maintained the same business model since inception — acquire gold exploration assets at cyclical lows and hold them for value appreciation. The USGO spin-off was a structural reorganization to unlock value, not a transformative pivot [1]. The company has not demonstrated willingness to fundamentally reinvent itself or abandon its core strategy in response to changing conditions. As a pre-revenue explorer, it has not yet faced the kind of existential test that would reveal true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GoldMining's counter-cyclical acquisition strategy — buying gold assets when the market is pessimistic — requires genuine conviction and willingness to look wrong in the short term [1]. The decision to maintain a zero-debt balance sheet while holding $185M in cash and securities, rather than leveraging up to accelerate development, reflects disciplined long-term capital allocation. However, the courage is limited by the fact that the company has never made the harder decision to commit capital to mine development, which involves significantly greater execution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GoldMining offers an asymmetric value proposition as a pre-revenue explorer trading near its cash-and-securities value ($185M in liquid assets vs. ~$245M market cap), with 22.1M oz AuEq in resources across the Americas providing significant embedded optionality [1]. Three Preliminary Economic Assessments completed in 2025-2026 show combined post-tax NPV5% exceeding $3.5B (Whistler $2.0B at 33% IRR, La Mina $1.0B, Sao Jorge $532M), implying the market assigns near-zero value to the resource base beyond liquid holdings [1]. The zero-debt balance sheet eliminates near-term financing risk, and the 79% ownership of U.S. GoldMining (USGO) provides leveraged exposure to the Whistler project's 2026 exploration program in Alaska. CEO Alastair Still brings institutional-quality mining experience from Newmont and Goldcorp [2].</w:t>
      </w:r>
    </w:p>
    <w:p>
      <w:pPr>
        <w:spacing w:after="120"/>
      </w:pPr>
      <w:r>
        <w:rPr>
          <w:rFonts w:ascii="Calibri" w:hAnsi="Calibri"/>
          <w:b w:val="0"/>
          <w:color w:val="3A4A28"/>
          <w:sz w:val="20"/>
        </w:rPr>
        <w:t>The fundamental risk is the massive gap between theoretical PEA valuations ($3.5B+) and realizable value — these are pre-development projects with no construction decisions, no permitting approvals, and no production timeline, meaning the NPV calculations assume billions in future capital expenditure that GoldMining cannot fund from its current $185M cash position [1]. As a pre-revenue company losing approximately $0.03/share per quarter, GoldMining burns cash with no income to offset exploration expenses, creating ongoing dilution risk through future equity raises. The projects face jurisdiction-specific challenges: Colombia (security, permitting complexity), Brazil (environmental regulation, Bolsonaro-to-Lula policy shifts), and Alaska (environmental activism, permitting timelines) [3]. The $1.16 stock price and $245M market cap place GLDG firmly in micro-cap territory with limited institutional ownership and analyst coverage, creating liquidity risk despite adequate daily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U.S. GoldMining's 2026 exploration drilling program at Whistler targeting resource expansion beyond the current PEA estimates, with potential to de-risk the project's $2.0B NPV toward a pre-feasibility study</w:t>
      </w:r>
    </w:p>
    <w:p>
      <w:pPr>
        <w:spacing w:before="40" w:after="40"/>
        <w:ind w:left="283"/>
      </w:pPr>
      <w:r>
        <w:rPr>
          <w:rFonts w:ascii="Calibri" w:hAnsi="Calibri"/>
          <w:b/>
          <w:color w:val="4A6B25"/>
          <w:sz w:val="20"/>
        </w:rPr>
        <w:t xml:space="preserve">2. </w:t>
      </w:r>
      <w:r>
        <w:rPr>
          <w:rFonts w:ascii="Calibri" w:hAnsi="Calibri"/>
          <w:b w:val="0"/>
          <w:color w:val="3A4A28"/>
          <w:sz w:val="20"/>
        </w:rPr>
        <w:t>Gold price appreciation above $3,000/oz would dramatically improve PEA economics across all three assessed projects and could trigger development decisions or acquisition interest from major gold producers</w:t>
      </w:r>
    </w:p>
    <w:p>
      <w:pPr>
        <w:spacing w:before="40" w:after="40"/>
        <w:ind w:left="283"/>
      </w:pPr>
      <w:r>
        <w:rPr>
          <w:rFonts w:ascii="Calibri" w:hAnsi="Calibri"/>
          <w:b/>
          <w:color w:val="4A6B25"/>
          <w:sz w:val="20"/>
        </w:rPr>
        <w:t xml:space="preserve">3. </w:t>
      </w:r>
      <w:r>
        <w:rPr>
          <w:rFonts w:ascii="Calibri" w:hAnsi="Calibri"/>
          <w:b w:val="0"/>
          <w:color w:val="3A4A28"/>
          <w:sz w:val="20"/>
        </w:rPr>
        <w:t>Strategic asset monetization through sale, joint venture, or spin-off of individual projects (following the USGO model) could unlock embedded value currently discounted by the market to near zero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cash burn of approximately $0.12/share annually with no production timeline creates ongoing dilution risk through future equity raises needed to fund exploration and eventual development</w:t>
      </w:r>
    </w:p>
    <w:p>
      <w:pPr>
        <w:spacing w:before="40" w:after="40"/>
        <w:ind w:left="283"/>
      </w:pPr>
      <w:r>
        <w:rPr>
          <w:rFonts w:ascii="Calibri" w:hAnsi="Calibri"/>
          <w:b/>
          <w:color w:val="4A6B25"/>
          <w:sz w:val="20"/>
        </w:rPr>
        <w:t xml:space="preserve">2. </w:t>
      </w:r>
      <w:r>
        <w:rPr>
          <w:rFonts w:ascii="Calibri" w:hAnsi="Calibri"/>
          <w:b w:val="0"/>
          <w:color w:val="3A4A28"/>
          <w:sz w:val="20"/>
        </w:rPr>
        <w:t>Massive gap between PEA-modeled NPV ($3.5B+) and current market cap ($220M) reflects market skepticism about permitting feasibility, capital requirements, and management's ability to advance projects to production</w:t>
      </w:r>
    </w:p>
    <w:p>
      <w:pPr>
        <w:spacing w:before="40" w:after="40"/>
        <w:ind w:left="283"/>
      </w:pPr>
      <w:r>
        <w:rPr>
          <w:rFonts w:ascii="Calibri" w:hAnsi="Calibri"/>
          <w:b/>
          <w:color w:val="4A6B25"/>
          <w:sz w:val="20"/>
        </w:rPr>
        <w:t xml:space="preserve">3. </w:t>
      </w:r>
      <w:r>
        <w:rPr>
          <w:rFonts w:ascii="Calibri" w:hAnsi="Calibri"/>
          <w:b w:val="0"/>
          <w:color w:val="3A4A28"/>
          <w:sz w:val="20"/>
        </w:rPr>
        <w:t>Jurisdiction-specific risks across Colombia (security, regulatory complexity), Brazil (environmental permitting under evolving policy), and Alaska (environmental activism, lengthy federal permitting timelines) threaten project advancement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exploration is a physical, geology-intensive activity that AI structurally cannot displace. GoldMining's value resides in 22.1M oz of gold-equivalent resources in the ground across the Americas — no AI system can substitute for mineral deposits, geological surveys, environmental permitting, or the physical extraction of gold [1]. The company's core assets are geological resources in politically complex jurisdictions (Colombia, Brazil, Alaska), requiring deep regulatory, environmental, and community expertise that AI cannot replicate. Rising AI data center demand increases electricity consumption and could indirectly support gold demand as an inflation hedge. Gold's role as a finite physical commodity makes the underlying resource base immune to AI substitution. AI Opportunity (0/1): GoldMining does not generate AI-related revenue. While the broader mining industry is adopting AI for geological modeling and resource estimation, GoldMining as a pre-revenue explorer does not have quantifiable AI revenue or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GoldMining Mid-Year 2026 Shareholder Update, PEA Results (Whistler, La Mina, Sao Jorge), and SEC 6-K Filings — goldmining.com, prnewswire.com, SEC, 2025-2026</w:t>
      </w:r>
    </w:p>
    <w:p>
      <w:pPr>
        <w:spacing w:before="20" w:after="20"/>
        <w:ind w:left="170"/>
      </w:pPr>
      <w:r>
        <w:rPr>
          <w:rFonts w:ascii="Calibri" w:hAnsi="Calibri"/>
          <w:b/>
          <w:color w:val="4A6B25"/>
          <w:sz w:val="15"/>
        </w:rPr>
        <w:t xml:space="preserve">2. </w:t>
      </w:r>
      <w:r>
        <w:rPr>
          <w:rFonts w:ascii="Calibri" w:hAnsi="Calibri"/>
          <w:b w:val="0"/>
          <w:color w:val="3A4A28"/>
          <w:sz w:val="17"/>
        </w:rPr>
        <w:t>GoldMining Management Team, CEO Alastair Still Bio, and Chairman Amir Adnani — goldmining.com, LinkedIn, 2024-2026</w:t>
      </w:r>
    </w:p>
    <w:p>
      <w:pPr>
        <w:spacing w:before="20" w:after="20"/>
        <w:ind w:left="170"/>
      </w:pPr>
      <w:r>
        <w:rPr>
          <w:rFonts w:ascii="Calibri" w:hAnsi="Calibri"/>
          <w:b/>
          <w:color w:val="4A6B25"/>
          <w:sz w:val="15"/>
        </w:rPr>
        <w:t xml:space="preserve">3. </w:t>
      </w:r>
      <w:r>
        <w:rPr>
          <w:rFonts w:ascii="Calibri" w:hAnsi="Calibri"/>
          <w:b w:val="0"/>
          <w:color w:val="3A4A28"/>
          <w:sz w:val="17"/>
        </w:rPr>
        <w:t>GoldMining 2024 Sustainability Report — 1,368 Hours Safety Training, Zero Environmental Incidents — stocktitan.net, goldmining.com, 2025</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Nasdaq — GLDG Key Statistics, Market Cap $245M, Stock Price $1.16, Average Volume 1.08M,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