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GLPI</w:t>
      </w:r>
      <w:r>
        <w:rPr>
          <w:rFonts w:ascii="Calibri" w:hAnsi="Calibri"/>
          <w:b/>
          <w:color w:val="1A2010"/>
          <w:sz w:val="40"/>
        </w:rPr>
        <w:t xml:space="preserve">  Gaming and Leisure Properties, Inc.</w:t>
      </w:r>
    </w:p>
    <w:p>
      <w:pPr>
        <w:spacing w:after="120"/>
      </w:pPr>
      <w:r>
        <w:rPr>
          <w:rFonts w:ascii="Calibri" w:hAnsi="Calibri"/>
          <w:b/>
          <w:color w:val="6E8450"/>
          <w:sz w:val="18"/>
        </w:rPr>
        <w:t>DIVIDEND SLEEVE · 2026-09-08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Specialty · NASDAQ · United States</w:t>
      </w:r>
    </w:p>
    <w:p>
      <w:pPr>
        <w:spacing w:after="80"/>
      </w:pPr>
      <w:r>
        <w:rPr>
          <w:rFonts w:ascii="Calibri" w:hAnsi="Calibri"/>
          <w:b w:val="0"/>
          <w:color w:val="3A4A28"/>
          <w:sz w:val="20"/>
        </w:rPr>
        <w:t>Gaming and Leisure Properties, Inc. is a self-administered Pennsylvania REIT spun off from Penn National Gaming in 2013. GLPI acquires, finances, and owns real estate properties leased to gaming operators under triple-net lease agreements. The portfolio includes 71 gaming and related facilities across 21 states, making it the largest pure-play gaming REIT. Tenants include Penn Entertainment, Caesars Entertainment, Boyd Gaming, Bally's Corporation, and The Cordish Companies. Q2 2026 revenue reached a record $430.5M with net income of $228.4M, and full-year AFFO guidance was raised to $4.10-$4.12 per share. The dividend was lifted 5.1% to $3.28 annualized.</w:t>
      </w:r>
    </w:p>
    <w:p>
      <w:r>
        <w:rPr>
          <w:rFonts w:ascii="Calibri" w:hAnsi="Calibri"/>
          <w:b/>
          <w:color w:val="6E8450"/>
          <w:sz w:val="18"/>
        </w:rPr>
        <w:t>20 Employees · https://www.glpropinc.com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GLPI completed the $5.18B Bally's master lease in 2024, adding 14 properties, and acquired Bally's Twin River Lincoln Casino Resort for $700M at 8.0% cap rate in Q1 2026 [1]. The portfolio grew from 19 properties with one tenant at inception to 71 properties with 8 tenants across 21 states. However, the underlying triple-net lease business model is unchanged since the 2013 spin-off — growth is entirely acquisition-driven rather than product innovation. AI Deployment (0/2): Not applicable to a 20-person triple-net lease REIT. GLPI's operations consist of property ownership, lease administration, and capital allocation — no AI products or quantified AI-driven efficiency gains [2]. Market Share (2/2): GLPI is the largest pure-play gaming REIT by property count with 71 properties across 21 states, zero rent defaults since inception, and ~87.5% of cash rent from publicly reporting gaming companies. Category-defining leadership in a niche it helped create [1]. Product Pipeline (1/2): ~$1.8B committed development pipeline including Bally's Chicago ($940M), Live! Virginia ($467M), Aurora ($225M), and Tropicana Vegas ($175M) provides multi-year growth visibility at 8%+ cap rates [1]. R&amp;D Intensity (0/1): Not applicable for REITs.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GLPI states it believes 'environmental and community stewardship is integral to growing shareholder value' — a generic statement interchangeable with any REIT [3]. No distinctive purpose or aspirational vision beyond being an efficient capital allocator in gaming real estate. Community Impact (1/2): GLPI operates responsible gaming initiatives including employee training and self-exclusion programs modeled after AGA standards. ESG Steering Committee charter established 2022. Sustainalytics ESG risk score of 16 (Low) with minimal controversy [3]. Employee Retention (1/2): Average management tenure of 11.5 years is exceptional for a public company — CEO Peter Carlino has led since the 2013 spin-off, President Brandon Moore joined 2014, and the tight 20-person team has shown remarkable stability, suggesting genuine organizational trust and alignment [2]. Insider Buying (0/2): Net insider selling identified in recent quarters, with sales by Moore and Burke exceeding $1.3M. No meaningful net insider buying by executives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Dividend stock methodology. Q2 2026 revenue reached a record $430.5M with net income of $228.4M, and H1 2026 revenue of $850.5M (+7.2% YoY) reflects continued acquisition-driven growth [1]. ROE of 17.62% and profit margin of 53% both exceed their respective targets of 15% and 20% (scoring 1.0 each). Forward P/E of 15.86 is below the 20 target (1.0). D/E of 181% is elevated due to structural REIT leverage but well below the 300% floor (0.52). Revenue growth YoY of ~7% scores 0.9, and 5yr revenue CAGR of ~7% scores 0.8. The primary drag is the GAAP payout ratio of ~99% (target 40%, scoring 0.01) — inherent to the REIT structure requiring 90%+ distribution of taxable income. Consecutive years paid (13) and growth (11) both exceed the 10-year targets with 2x and 1x weighting. 5yr dividend growth CAGR of 4.95% scores 0.83 against the 6% target with 2x weight. Weighted sum 9.88/12.0 rounds to 8. Liquidity floor cleared at ~$109M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GLPI operates with a long-term investment horizon inherent to the REIT model — triple-net leases spanning 20+ years with renewal options naturally create infinite-horizon thinking around asset quality and tenant relationships. The zero-default record since inception, growth from 19 to 71 properties, and remarkable 11.5-year average management tenure demonstrate patient, relationship-driven execution. However, the company is fundamentally a capital allocation vehicle rather than a purpose-driven organization, and the competitive posture around deal flow and cap rates reflects financial optimization rather than a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GLPI exists to acquire and own gaming real estate — a valid business purpose but not a Just Cause in Sinek's terms. The company's reason for being is to generate predictable cash flows through triple-net leases and return them to shareholders. Environmental and community stewardship is cited as integral to shareholder value, not as a purpose in itself [3]. The absence of a vision beyond efficient capital allocation limits the score.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20 employees, GLPI operates as a tight-knit team where trust is high by necessity. Average management tenure of 11.5 years is exceptional — CEO Peter Carlino has led since the 2013 spin-off, President Brandon Moore and CFO Desiree Burke have both been with the company since 2014 [2]. Carlino publicly credited these executives as 'instrumental in growing GLPI from one tenant with 19 properties to six tenants with 57 properties.' The small team size and long tenure create conditions for deep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GLPI acknowledges VICI Properties as a worthy competitor and has used VICI's strengths — particularly its Las Vegas Strip concentration and larger market cap — to differentiate through geographic diversification across 21 states and multiple tenant relationships [2]. Management frames competition in terms of finding the best risk-adjusted deals at 8%+ cap rates rather than defeating VICI, reflecting an infinite competitive mindset oriented toward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GLPI demonstrated meaningful flexibility by diversifying from complete Penn Entertainment dependency to 8 tenants through Caesars, Boyd, Bally's, and Cordish transactions, and the ~$1.8B development pipeline represents evolution from pure acquisition into development financing [1]. Tribal gaming exploration opens a previously inaccessible addressable market. However, these are incremental expansions of the same triple-net lease model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$5.18B Bally's master lease, $700M Twin River Lincoln acquisition, and $467M Live! Virginia development commitment were bold capital allocation decisions that meaningfully transformed the portfolio and reduced tenant concentration risk [1]. Management accepted higher leverage and issued $800M in new senior notes at 5.625% to fund these investments, prioritizing long-term portfolio quality over near-term leverage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GLPI offers a compelling income play with a 7.46% dividend yield (raised 5.1% in 2026) backed by triple-net lease agreements across 71 gaming properties in 21 states with zero rent defaults since inception [1]. Q2 2026 delivered record revenue of $430.5M and net income of $228.4M, with H1 2026 revenue growing 7.2% YoY to $850.5M. AFFO guidance was raised to $4.10-$4.12/share ($1.22B), and the stock trades at just 10.6x P/AFFO — a significant discount to net-lease REIT peers averaging 14-16x [1]. ROE of 17.62%, profit margin of 53%, and forward P/E of 15.86x represent attractive fundamentals for a REIT with 11 consecutive years of dividend growth. The $1.8B development pipeline at blended cap rates above 8% provides multi-year accretive growth visibility, while rent coverage ratios averaging 2x+ ensure income stability.</w:t>
      </w:r>
    </w:p>
    <w:p>
      <w:pPr>
        <w:spacing w:after="120"/>
      </w:pPr>
      <w:r>
        <w:rPr>
          <w:rFonts w:ascii="Calibri" w:hAnsi="Calibri"/>
          <w:b w:val="0"/>
          <w:color w:val="3A4A28"/>
          <w:sz w:val="20"/>
        </w:rPr>
        <w:t>The primary risk is tenant credit quality deterioration in a recession — casino revenue is discretionary spending, and Bally's Corporation carries elevated leverage with only 2.20x lease coverage ratio, the thinnest in the portfolio [1]. D/E of 181% and net debt/EBITDA of ~5.0x limit acquisition flexibility without dilutive equity issuance. The GAAP payout ratio of ~99% constrains dividend growth to ~5% annually (below the 6% IOWN target), making the 7.5% yield dependent on stable interest rate expectations — if rates remain elevated, income investors may find comparable yields in lower-risk fixed income. Net insider selling across management in recent quarters signals lack of conviction at current valuation [2]. The 5-year dividend growth CAGR of 4.95% trails inflation-adjusted growth expectations. The Inspire Impact Score of -1 (MIXED) with a 'Gambling' negative attribution may limit faith-based investor participation regardless of financial fundamentals.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~$1.8B committed development pipeline at 8%+ cap rates including Bally's Chicago ($940M), Live! Virginia ($467M), Aurora ($225M), and Tropicana Vegas ($175M) providing multi-year accretive AFFO growth [1]</w:t>
      </w:r>
    </w:p>
    <w:p>
      <w:pPr>
        <w:spacing w:before="40" w:after="40"/>
        <w:ind w:left="283"/>
      </w:pPr>
      <w:r>
        <w:rPr>
          <w:rFonts w:ascii="Calibri" w:hAnsi="Calibri"/>
          <w:b/>
          <w:color w:val="4A6B25"/>
          <w:sz w:val="20"/>
        </w:rPr>
        <w:t xml:space="preserve">2. </w:t>
      </w:r>
      <w:r>
        <w:rPr>
          <w:rFonts w:ascii="Calibri" w:hAnsi="Calibri"/>
          <w:b w:val="0"/>
          <w:color w:val="3A4A28"/>
          <w:sz w:val="20"/>
        </w:rPr>
        <w:t>Raised FY2026 AFFO guidance to $4.10-$4.12/share after record Q1 and Q2 results, with 5.1% dividend increase reflecting management confidence in sustainable cash flow growth [1]</w:t>
      </w:r>
    </w:p>
    <w:p>
      <w:pPr>
        <w:spacing w:before="40" w:after="40"/>
        <w:ind w:left="283"/>
      </w:pPr>
      <w:r>
        <w:rPr>
          <w:rFonts w:ascii="Calibri" w:hAnsi="Calibri"/>
          <w:b/>
          <w:color w:val="4A6B25"/>
          <w:sz w:val="20"/>
        </w:rPr>
        <w:t xml:space="preserve">3. </w:t>
      </w:r>
      <w:r>
        <w:rPr>
          <w:rFonts w:ascii="Calibri" w:hAnsi="Calibri"/>
          <w:b w:val="0"/>
          <w:color w:val="3A4A28"/>
          <w:sz w:val="20"/>
        </w:rPr>
        <w:t>Interest rate normalization could re-rate GLPI from 10.6x P/AFFO toward net-lease REIT peer averages of 14-16x, representing 30-50% upside to fair value, with tribal gaming partnerships opening a previously inaccessible addressable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Regional casino revenue decline in a recession could pressure tenant operators' ability to meet lease obligations, particularly Bally's with only 2.20x rent coverage and elevated corporate leverage representing the weakest link in the portfolio [1]</w:t>
      </w:r>
    </w:p>
    <w:p>
      <w:pPr>
        <w:spacing w:before="40" w:after="40"/>
        <w:ind w:left="283"/>
      </w:pPr>
      <w:r>
        <w:rPr>
          <w:rFonts w:ascii="Calibri" w:hAnsi="Calibri"/>
          <w:b/>
          <w:color w:val="4A6B25"/>
          <w:sz w:val="20"/>
        </w:rPr>
        <w:t xml:space="preserve">2. </w:t>
      </w:r>
      <w:r>
        <w:rPr>
          <w:rFonts w:ascii="Calibri" w:hAnsi="Calibri"/>
          <w:b w:val="0"/>
          <w:color w:val="3A4A28"/>
          <w:sz w:val="20"/>
        </w:rPr>
        <w:t>D/E of 181% and elevated cost of debt limit financial flexibility for acquisitions without dilutive equity raises, and the ~99% GAAP payout ratio constrains dividend growth to ~5% annually, trailing the 6% IOWN target</w:t>
      </w:r>
    </w:p>
    <w:p>
      <w:pPr>
        <w:spacing w:before="40" w:after="40"/>
        <w:ind w:left="283"/>
      </w:pPr>
      <w:r>
        <w:rPr>
          <w:rFonts w:ascii="Calibri" w:hAnsi="Calibri"/>
          <w:b/>
          <w:color w:val="4A6B25"/>
          <w:sz w:val="20"/>
        </w:rPr>
        <w:t xml:space="preserve">3. </w:t>
      </w:r>
      <w:r>
        <w:rPr>
          <w:rFonts w:ascii="Calibri" w:hAnsi="Calibri"/>
          <w:b w:val="0"/>
          <w:color w:val="3A4A28"/>
          <w:sz w:val="20"/>
        </w:rPr>
        <w:t>Sustained high interest rates could compress REIT valuations and make the 7.5% dividend yield less attractive relative to lower-risk fixed income alternatives, while net insider selling raises questions about management's view of current valuation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GLPI's business is structurally immune to AI disruption. The company owns physical casino real estate leased under long-term triple-net agreements with built-in escalators — AI cannot replace physical casino buildings, land, or the regulatory gaming licenses across 21 states that underpin these properties [1]. Casino gaming has irreducible physical-world components (slot machines, table games, hospitality, entertainment) that AI augments rather than replaces. Rent coverage ratios averaging 2x+ across major tenants (Boyd 2.47x, Cordish PA Live! 2.55x, Bally's 2.20x) provide substantial buffer against any demand shifts [1]. The indirect risk of AI-powered online gambling cannibalizing physical casino attendance is mitigated by historical complementarity between online and land-based gaming. AI Opportunity (0/1): GLPI does not generate quantifiable revenue from AI products or services. While tenant operators may deploy AI-driven player analytics, GLPI as a property landlord has no direct AI revenue stream to cite.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GLPI Q1 and Q2 2026 Record Results — Revenue $420.0M Q1 (+6.3% YoY), $430.5M Q2, Net Income $228.4M Q2, Raised AFFO Guidance to $4.10-$4.12/share, 5.1% Dividend Increase — StockTitan, BettorsInsider, 247WallSt, July 2026</w:t>
      </w:r>
    </w:p>
    <w:p>
      <w:pPr>
        <w:spacing w:before="20" w:after="20"/>
        <w:ind w:left="170"/>
      </w:pPr>
      <w:r>
        <w:rPr>
          <w:rFonts w:ascii="Calibri" w:hAnsi="Calibri"/>
          <w:b/>
          <w:color w:val="4A6B25"/>
          <w:sz w:val="15"/>
        </w:rPr>
        <w:t xml:space="preserve">2. </w:t>
      </w:r>
      <w:r>
        <w:rPr>
          <w:rFonts w:ascii="Calibri" w:hAnsi="Calibri"/>
          <w:b w:val="0"/>
          <w:color w:val="3A4A28"/>
          <w:sz w:val="17"/>
        </w:rPr>
        <w:t>GLPI Leadership, Corporate Governance, and Insider Activity — CEO Peter Carlino (since 2013), President Brandon Moore, 11.5-Year Average Management Tenure — CDCGaming, Equilar, SEC Filings, September 2026</w:t>
      </w:r>
    </w:p>
    <w:p>
      <w:pPr>
        <w:spacing w:before="20" w:after="20"/>
        <w:ind w:left="170"/>
      </w:pPr>
      <w:r>
        <w:rPr>
          <w:rFonts w:ascii="Calibri" w:hAnsi="Calibri"/>
          <w:b/>
          <w:color w:val="4A6B25"/>
          <w:sz w:val="15"/>
        </w:rPr>
        <w:t xml:space="preserve">3. </w:t>
      </w:r>
      <w:r>
        <w:rPr>
          <w:rFonts w:ascii="Calibri" w:hAnsi="Calibri"/>
          <w:b w:val="0"/>
          <w:color w:val="3A4A28"/>
          <w:sz w:val="17"/>
        </w:rPr>
        <w:t>GLPI ESG Profile — Sustainalytics Risk Score 16 (Low), Low Controversy Level, Responsible Gaming Initiatives — Yahoo Finance, ESG Tracker,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