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GNPX</w:t>
      </w:r>
      <w:r>
        <w:rPr>
          <w:rFonts w:ascii="Calibri" w:hAnsi="Calibri"/>
          <w:b/>
          <w:color w:val="1A2010"/>
          <w:sz w:val="40"/>
        </w:rPr>
        <w:t xml:space="preserve">  Genprex, Inc.</w:t>
      </w:r>
    </w:p>
    <w:p>
      <w:pPr>
        <w:spacing w:after="120"/>
      </w:pPr>
      <w:r>
        <w:rPr>
          <w:rFonts w:ascii="Calibri" w:hAnsi="Calibri"/>
          <w:b/>
          <w:color w:val="6E8450"/>
          <w:sz w:val="18"/>
        </w:rPr>
        <w:t>GROWTH SLEEVE · 2026-09-30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Genprex is a clinical-stage gene therapy company developing therapies for cancer and diabetes. Its lead oncology candidate, Reqorsa Gene Therapy (quaratusugene ozeplasmid), uses a non-viral Oncoprex Delivery System with lipid nanoparticles and is being evaluated in three clinical trials for NSCLC and SCLC, all with FDA Fast Track Designation. The diabetes program (GPX-002) uses an AAV vector to deliver Pdx1 and MafA genes to transform alpha cells into functional beta-like cells. Market cap is approximately $2.3M with 13 employees. The company has substantial going concern doubt despite $15.15M in cash at June 30, 2026.</w:t>
      </w:r>
    </w:p>
    <w:p>
      <w:r>
        <w:rPr>
          <w:rFonts w:ascii="Calibri" w:hAnsi="Calibri"/>
          <w:b/>
          <w:color w:val="6E8450"/>
          <w:sz w:val="18"/>
        </w:rPr>
        <w:t>13 Employees · https://www.genprex.com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Genprex remains pre-revenue after 17 years of existence (incorporated 2009) with no commercialized products or successful pivots — the business model has not changed since inception [1]. AI Deployment (0/2): No AI deployment or strategy evident; all development activity is traditional gene therapy research using lipid nanoparticle delivery systems [2]. Market Share (0/2): Pre-revenue company with zero market share in any commercial category; Reqorsa is still in Phase 1/2 trials [1]. Product Pipeline (1/2): Three active clinical programs provide some pipeline visibility — Acclaim-1 (Reqorsa + Tagrisso for NSCLC) expects interim analysis by end of 2026 with potential Phase 2b initiation in 2027, and Acclaim-3 evaluates Reqorsa + Tecentriq for SCLC [1]. GPX-002 diabetes gene therapy is in preclinical development. However, all programs remain early-stage with uncertain timelines. R&amp;D Intensity (1/1): Virtually all of Genprex's $8.98M in H1 2026 operating expenses are R&amp;D-related, reflecting top-quartile intensity relative to its minimal resource base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Genprex's purpose — developing gene therapies for cancer and diabetes patients with limited treatment options — is clear and identifies a meaningful patient population, but it is not distinctive among the hundreds of clinical-stage biotech companies pursuing similar missions [2]. The company persisted through the death of co-founder and CEO Rodney Varner in May 2024, demonstrating some resilience of purpose. Community Impact (0/2): No evidence of community programs, charitable giving, or social impact initiatives beyond the inherent value of the therapeutic pipeline [3]. Employee Retention (0/2): With only 13 employees, no meaningful retention metrics are available; the CFO Ryan Confer's elevation to CEO after Varner's passing suggests continuity but the sample size is too small to evaluate [2]. Insider Buying (0/2): No evidence of meaningful net insider buying by executives was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229,393 shares multiplied by stock price of $2.85 equals $653,770 daily dollar volume, below the $1,000,000 minimum required for IOWN trading [3]. Infrastructure scores 0 regardless of underlying metrics. For reference, the company has zero debt ($0 total debt against $15.15M cash), but ROE is deeply negative at -203.9%, there is no revenue or profit margin to measure, and the company disclosed substantial doubt about its ability to continue as a going concern even with current cash funding operations into H2 2027 [1]. The $15.6M raised through at-the-market equity offerings in H1 2026 demonstrates continued dilution risk for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Genprex has a genuine scientific purpose in fighting cancer and diabetes through gene therapy, and the company showed resilience by continuing operations after the death of co-founder CEO Rodney Varner in 2024. However, as a 13-person pre-revenue company burning approximately $18M annually with going concern risk, it operates in pure survival mode rather than playing an infinite game. There is no evidence of courageous long-term investment decisions, transformative strategic pivots, or competitive self-awareness.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Fighting cancer and diabetes through novel gene therapy is a genuine cause that connects Genprex's work to something bigger than profit — the vision of transforming alpha cells into insulin-producing beta-like cells and delivering tumor suppressor genes to lung cancer patients represents a future state that serves others [2]. The company's persistence through the CEO's death and continued pursuit of FDA Fast Track programs demonstrates partial commitment to this cause [1]. However, as a 17-year-old pre-revenue company, the cause has not been validated through successful execution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13 employees, the team is necessarily small and tight-knit. The smooth transition from Rodney Varner to Ryan Confer (elevated from CFO to CEO) after Varner's passing in May 2024 suggests adequate organizational stability [2]. The retention of key executives including CMO Dr. Mark Berger and CMTO Dr. Hemant Kumar through the leadership crisis indicates some organizational trust. However, the sample size is too small to draw meaningful conclusions about team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Genprex frames its competitive landscape — the company does not publicly discuss competitors' strengths or reference learning from other gene therapy players in its public communications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Genprex has maintained essentially the same business model and strategic approach since inception — lipid nanoparticle-based gene therapy for cancer, with the diabetes program added as an extension rather than a transformative pivot [2]. The company is too small and too early-stage to have faced a meaningful test of strategic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by leadership. The company's strategic decisions are driven by capital constraints and survival needs rather than bold vision — raising $15.6M through dilutive at-the-market offerings in H1 2026 reflects capital market dependency, not courageous capital allocation [1]. The new CEO Ryan Confer was elevated from CFO, a pragmatic choice rather than a transformative one.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Genprex's bull case rests entirely on clinical pipeline optionality — the Acclaim-1 trial evaluating Reqorsa in combination with AstraZeneca's Tagrisso for NSCLC could generate interim data by year-end 2026, and positive results in this large, poorly-served patient population (NSCLC is the leading cause of cancer death) could transform the company's valuation from its current $2.3M market cap [1]. The FDA has granted Fast Track Designation to all three lung cancer programs, and the diabetes gene therapy GPX-002 represents a second potential platform in a massive therapeutic category. The company has zero debt and $15.15M in cash providing runway into H2 2027.</w:t>
      </w:r>
    </w:p>
    <w:p>
      <w:pPr>
        <w:spacing w:after="120"/>
      </w:pPr>
      <w:r>
        <w:rPr>
          <w:rFonts w:ascii="Calibri" w:hAnsi="Calibri"/>
          <w:b w:val="0"/>
          <w:color w:val="3A4A28"/>
          <w:sz w:val="20"/>
        </w:rPr>
        <w:t>The bear case is overwhelming for current investment. A $2.3M market cap with going concern risk, 13 employees, zero revenue after 17 years of existence, and dependence on continuous dilutive equity raises ($15.6M raised via ATM in H1 2026 alone) creates extreme risk of permanent capital loss [1]. The daily dollar volume of only approximately $654K falls below the $1M IOWN liquidity floor, making position entry and exit impractical. Clinical-stage biotech failure rates exceed 90% historically, and Genprex's programs remain in early Phase 1/2 trials with no Phase 3 visibility. The CEO transition from founder Rodney Varner (deceased May 2024) to CFO-turned-CEO Ryan Confer raises questions about scientific and strategic leadership continuity [2]. The stock trades at $2.85, well below its 50-day SMA of $4.46, reflecting deteriorating market confidence.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Acclaim-1 interim analysis expected by end of 2026 could provide first clinical proof-of-concept for Reqorsa + Tagrisso in NSCLC, with potential to initiate Phase 2b in 2027 and attract partnership interest from larger pharma [1]</w:t>
      </w:r>
    </w:p>
    <w:p>
      <w:pPr>
        <w:spacing w:before="40" w:after="40"/>
        <w:ind w:left="283"/>
      </w:pPr>
      <w:r>
        <w:rPr>
          <w:rFonts w:ascii="Calibri" w:hAnsi="Calibri"/>
          <w:b/>
          <w:color w:val="4A6B25"/>
          <w:sz w:val="20"/>
        </w:rPr>
        <w:t xml:space="preserve">2. </w:t>
      </w:r>
      <w:r>
        <w:rPr>
          <w:rFonts w:ascii="Calibri" w:hAnsi="Calibri"/>
          <w:b w:val="0"/>
          <w:color w:val="3A4A28"/>
          <w:sz w:val="20"/>
        </w:rPr>
        <w:t>GPX-002 diabetes gene therapy preclinical-to-clinical transition represents optionality in a massive market where functional cure of Type 1 diabetes via alpha-to-beta cell conversion would be transformative [1]</w:t>
      </w:r>
    </w:p>
    <w:p>
      <w:pPr>
        <w:spacing w:before="40" w:after="40"/>
        <w:ind w:left="283"/>
      </w:pPr>
      <w:r>
        <w:rPr>
          <w:rFonts w:ascii="Calibri" w:hAnsi="Calibri"/>
          <w:b/>
          <w:color w:val="4A6B25"/>
          <w:sz w:val="20"/>
        </w:rPr>
        <w:t xml:space="preserve">3. </w:t>
      </w:r>
      <w:r>
        <w:rPr>
          <w:rFonts w:ascii="Calibri" w:hAnsi="Calibri"/>
          <w:b w:val="0"/>
          <w:color w:val="3A4A28"/>
          <w:sz w:val="20"/>
        </w:rPr>
        <w:t>FDA Orphan Drug Designation for SCLC program provides regulatory incentives including 7-year market exclusivity if approved, reducing competitive risk in a niche indication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with $15.15M cash and approximately $18M annual burn rate — management has stated substantial doubt about ability to continue as a going concern, requiring additional dilutive capital raises before any program reaches commercialization [1]</w:t>
      </w:r>
    </w:p>
    <w:p>
      <w:pPr>
        <w:spacing w:before="40" w:after="40"/>
        <w:ind w:left="283"/>
      </w:pPr>
      <w:r>
        <w:rPr>
          <w:rFonts w:ascii="Calibri" w:hAnsi="Calibri"/>
          <w:b/>
          <w:color w:val="4A6B25"/>
          <w:sz w:val="20"/>
        </w:rPr>
        <w:t xml:space="preserve">2. </w:t>
      </w:r>
      <w:r>
        <w:rPr>
          <w:rFonts w:ascii="Calibri" w:hAnsi="Calibri"/>
          <w:b w:val="0"/>
          <w:color w:val="3A4A28"/>
          <w:sz w:val="20"/>
        </w:rPr>
        <w:t>Liquidity floor violation ($654K daily dollar volume) makes the stock untradeable for institutional portfolios and creates severe price impact risk for any meaningful position size [3]</w:t>
      </w:r>
    </w:p>
    <w:p>
      <w:pPr>
        <w:spacing w:before="40" w:after="40"/>
        <w:ind w:left="283"/>
      </w:pPr>
      <w:r>
        <w:rPr>
          <w:rFonts w:ascii="Calibri" w:hAnsi="Calibri"/>
          <w:b/>
          <w:color w:val="4A6B25"/>
          <w:sz w:val="20"/>
        </w:rPr>
        <w:t xml:space="preserve">3. </w:t>
      </w:r>
      <w:r>
        <w:rPr>
          <w:rFonts w:ascii="Calibri" w:hAnsi="Calibri"/>
          <w:b w:val="0"/>
          <w:color w:val="3A4A28"/>
          <w:sz w:val="20"/>
        </w:rPr>
        <w:t>Clinical trial failure in Acclaim-1 or GPX-002 would eliminate the company's primary value drivers, with no commercial revenue base to sustain operations and no viable path to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Gene therapy is fundamentally a physical/biological science that AI cannot displace — Genprex's work involves lipid nanoparticle drug delivery systems, clinical trial execution, FDA regulatory processes, and biomanufacturing, all of which require physical-world operations and deep regulatory moats [2]. AI tools may accelerate drug discovery and biomarker identification (Genprex has a biomarker study with MD Anderson Cancer Center), but these are enablers, not substitutes for the actual therapeutic development [1]. No analysts have flagged AI as a substitution risk for gene therapy companies. AI Opportunity (0/1): Genprex generates no revenue of any kind, let alone AI-related revenue. The company has not deployed AI products or reported AI-driven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Genprex Q2 2026 10-Q — Net loss $4.45M, cash $15.15M, going concern disclosure, $15.6M ATM raises, SEC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Genprex Corporate — CEO transition (Ryan Confer succeeding Rodney Varner May 2024), clinical pipeline (Acclaim-1, Acclaim-3, GPX-002), leadership team, gene therapy platform, 2024-2026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GNPX Key Statistics: Stock Price $2.85, Market Cap $2.3M, Avg Volume 229K, ROE -203.9%,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