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GNW</w:t>
      </w:r>
      <w:r>
        <w:rPr>
          <w:rFonts w:ascii="Calibri" w:hAnsi="Calibri"/>
          <w:b/>
          <w:color w:val="1A2010"/>
          <w:sz w:val="40"/>
        </w:rPr>
        <w:t xml:space="preserve">  Genworth Financial, Inc.</w:t>
      </w:r>
    </w:p>
    <w:p>
      <w:pPr>
        <w:spacing w:after="120"/>
      </w:pPr>
      <w:r>
        <w:rPr>
          <w:rFonts w:ascii="Calibri" w:hAnsi="Calibri"/>
          <w:b/>
          <w:color w:val="6E8450"/>
          <w:sz w:val="18"/>
        </w:rPr>
        <w:t>GROWTH SLEEVE · 2026-08-31 · Inspire: 38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Insurance - Life · NYSE · United States</w:t>
      </w:r>
    </w:p>
    <w:p>
      <w:pPr>
        <w:spacing w:after="80"/>
      </w:pPr>
      <w:r>
        <w:rPr>
          <w:rFonts w:ascii="Calibri" w:hAnsi="Calibri"/>
          <w:b w:val="0"/>
          <w:color w:val="3A4A28"/>
          <w:sz w:val="20"/>
        </w:rPr>
        <w:t>Genworth Financial provides mortgage insurance through its majority-owned subsidiary Enact Holdings and manages a legacy closed-block of long-term care insurance policies. The company is building CareScout, a technology platform connecting consumers with long-term care providers, as its strategic growth initiative. Operates in two segments: Enact (private mortgage insurance) and Long-Term Care Insurance (closed block in runoff). Q2 2026 revenue of $1.901B (+5.9% YoY), EPS of $0.29 beating estimates of $0.07 by 314%. Holding company cash of $215M with $103M Q2 capital returns from Enact. Buyback program guided at $195-225M for FY2026. Founded in 2003 as a GE Capital spinoff, headquartered in Richmond, Virginia with 3,100 employees.</w:t>
      </w:r>
    </w:p>
    <w:p>
      <w:r>
        <w:rPr>
          <w:rFonts w:ascii="Calibri" w:hAnsi="Calibri"/>
          <w:b/>
          <w:color w:val="6E8450"/>
          <w:sz w:val="18"/>
        </w:rPr>
        <w:t>3,100 Employees · https://www.genworth.com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Genworth's most notable strategic move was the successful 2021 IPO of Enact Holdings (mortgage insurance subsidiary), which unlocked shareholder value and separated the growth engine from the legacy LTC block. The company is building CareScout as a new aging-services platform targeting $25M in service revenue for 2026, but this is early-stage relative to the $7.3B revenue base [1]. AI Deployment (1/2): CEO McInerney has emphasized implementing AI and digital technologies for the aging journey, the company hired Morris Taylor as CIO (from Capital One) and added Steven Van Wyk (former HSBC Group CIO) to the board specifically for AI/digital transformation, but no shipping AI products or quantified savings have been reported [2]. Market Share (1/2): Enact is one of the largest private mortgage insurers in the U.S. with strong Q1 2026 performance driving 87% adjusted operating income beat versus analyst estimates, holding meaningful market position among Radian, MGIC, and NMI [1]. Pipeline (1/2): CareScout targeting 7,500 provider matches and $25M service revenue in 2026 represents a real pipeline addressing the aging demographics megatrend, though modest relative to total revenue [1]. R&amp;D Intensity (0/1): No disclosed R&amp;D spending; CEO McInerney noted 80% of technology spend goes to maintaining legacy systems rather than innovation, placing the company below peers in effective R&amp;D investment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Genworth's purpose is 'empowering families to navigate the aging journey with confidence' — clear, specific to the company's market, and connects to a genuine societal need as demographics shift, but not deeply transformative or distinctive enough to be a true Just Cause [2]. Community Impact (2/2): The Genworth Foundation awarded approximately $2.6M in grants in 2024, with employees donating $513K plus $400K in matching gifts to nonprofits — specific, measurable philanthropic commitment with employee engagement [3]. Employee Retention (1/2): Genworth earned USA Today Top Workplace recognition across multiple categories (Compensation &amp; Benefits, Innovation, Work-Life Flexibility, Purpose &amp; Values, and Leadership), with pulse checks three times per year and executive listening tours demonstrating intentional investment in employee voice [2]. Insider Buying (0/2): Recent insider transactions show stock awards and grants to executives but no meaningful open-market purchases with personal funds were identified in 2025-2026 filings.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Q2 2026 delivered revenue of $1.901B (+5.9% YoY) with EPS of $0.29 beating estimates of $0.07 by 314%, following Q1's adjusted operating EPS of $0.28 which beat estimates by 87% [1]. D/E of 23% is conservative. However, ROE of 2.31% remains well below the 15% target, reflecting the drag from the massive legacy LTC reserve base. Profit margin of 2.60% is extremely thin. Forward P/E compressed sharply from 24.18x to 9.19x after consecutive earnings beats drove analyst estimate revisions upward, now scoring well below the 20x target. Revenue growth improved to +3% YoY as new insurance written rose 15% in Q2 driven by larger purchase and refinance markets. Revenue growth 5yr CAGR of -1.3% still reflects structural decline. Holding company cash of $215M with $103M in Q2 capital returns from Enact and buyback program guided at $195-225M for FY2026 [1]. Liquidity floor cleared: ~3.2M avg volume x $9.93 = $31.8M daily.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Genworth shows more finite than infinite game characteristics. While the 'empowering families through aging' mission and CareScout platform hint at genuine purpose, the company's track record undermines these signals. The legacy LTC block was built on systematically under-priced policies, and management's response — premium hikes, claims management, and reserve adjustments — reflects finite-game damage control rather than infinite-game purpose. CEO McInerney's 13-year tenure spans both the under-reserving controversy and the CareScout initiative, creating a mixed leadership signal.</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Genworth's mission of 'empowering families to navigate the aging journey with confidence' is genuine in aspiration, and CareScout represents a tangible attempt to build beyond insurance [1]. However, the company's history of under-reserving LTC liabilities, a $219M settlement for reserve misstatements, class action allegations of concealing systematic premium increase plans, and widespread claims denial controversies directly contradict the stated purpose of empowering families [4][5]. The same leadership that presided over these practices now champions the aging-journey mission — the credibility gap is significant.</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USA Today Top Workplace recognition across multiple categories (Compensation, Innovation, Work-Life Flexibility, Purpose &amp; Values, Leadership) signals healthy internal culture [2]. Pulse checks three times per year and executive listening tours demonstrate intentional investment in employee voice. CEO McInerney's 13-year tenure provides leadership stability, though long tenures can also entrench established patterns. The ongoing tech modernization challenge (80% of spend on legacy systems) suggests organizational inertia that may frustrate forward-looking employees.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infinite competitive mindset. Genworth competes with Radian, MGIC, and NMI in mortgage insurance through Enact, and faces emerging competition in aging services. No management commentary was found that references learning from competitors' strengths or using rivalry as motivation for self-improvement — competitive positioning focuses on Enact's market share and CareScout's first-mover status.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IPO of Enact Holdings to unlock value from the holding company structure, the managed runoff of the legacy LTC block, and the creation of CareScout as a technology-enabled aging services platform represent meaningful strategic evolution [1]. The company is attempting to transform from a legacy insurance carrier into a platform connecting consumers with care services. This is incremental but directionally significant adaptation, though not yet transformative in the Sinek sense.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Investing in CareScout while managing the difficult LTC runoff shows willingness to invest in the future during a challenging period. The $350M share repurchase program (expanded from $175-225M) signals confidence in long-term value [1]. However, the company has been primarily in stabilization mode for over a decade under McInerney, and the CareScout investment ($25M revenue target) is modest relative to the $7.3B revenue base — more prudent capital allocation than bold contrarian bet.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Genworth Financial trades at a meaningful discount to the value of its majority-owned Enact Holdings stake, creating a sum-of-parts value opportunity. Q2 2026 EPS of $0.29 beat estimates of $0.07 by 314%, following Q1's 87% beat, compressing the forward P/E from 24.18x to 9.19x as analysts revised estimates sharply higher [1]. New insurance written rose 15% YoY in Q2 driven by larger purchase and refinance markets. The buyback program is guided at $195-225M for FY2026, with holding company cash of $215M and $103M in Q2 capital returns from Enact. A potential $750M legal windfall is pending appeal. CareScout expanded its Quality Network to 1,100+ home care locations with increased utilization. D/E of 23% provides balance sheet conservatism unusual for a financial services company.</w:t>
      </w:r>
    </w:p>
    <w:p>
      <w:pPr>
        <w:spacing w:after="120"/>
      </w:pPr>
      <w:r>
        <w:rPr>
          <w:rFonts w:ascii="Calibri" w:hAnsi="Calibri"/>
          <w:b w:val="0"/>
          <w:color w:val="3A4A28"/>
          <w:sz w:val="20"/>
        </w:rPr>
        <w:t>The bear case centers on the legacy LTC liability overhang and structural earnings weakness. Net income of $47M on $1.901B quarterly revenue produces a razor-thin 2.60% profit margin, with the legacy LTC block absorbing significant capital and management attention [1]. ROE of just 2.31% indicates the company fails to generate adequate returns on its equity base. Revenue has been declining at -1.3% 5yr CAGR despite Q2's modest 5.9% YoY improvement. CEO McInerney's medical leave introduces additional leadership uncertainty, with CFO Jerome Upton serving as Interim President and CEO. The LTC legacy book carries material tail risk — a class action alleged the company concealed plans for systematic premium increases, a $219M settlement was reached for reserve misstatements, and widespread claims denial controversies damage the brand [4][5]. 80% of technology spend goes to maintaining legacy systems, leaving minimal investment for competitive innovation. CareScout's $25M revenue target remains a rounding error on the P&amp;L.</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Expanded $350M share repurchase program representing ~9.5% of market cap, providing price support and per-share earnings accretion as Q1 2026 deployment of $67M demonstrates execution commitment</w:t>
      </w:r>
    </w:p>
    <w:p>
      <w:pPr>
        <w:spacing w:before="40" w:after="40"/>
        <w:ind w:left="283"/>
      </w:pPr>
      <w:r>
        <w:rPr>
          <w:rFonts w:ascii="Calibri" w:hAnsi="Calibri"/>
          <w:b/>
          <w:color w:val="4A6B25"/>
          <w:sz w:val="20"/>
        </w:rPr>
        <w:t xml:space="preserve">2. </w:t>
      </w:r>
      <w:r>
        <w:rPr>
          <w:rFonts w:ascii="Calibri" w:hAnsi="Calibri"/>
          <w:b w:val="0"/>
          <w:color w:val="3A4A28"/>
          <w:sz w:val="20"/>
        </w:rPr>
        <w:t>CareScout platform scaling toward $25M service revenue and 7,500 provider matches in 2026, with potential to redefine Genworth's narrative from insurance runoff to technology-enabled aging services platform</w:t>
      </w:r>
    </w:p>
    <w:p>
      <w:pPr>
        <w:spacing w:before="40" w:after="40"/>
        <w:ind w:left="283"/>
      </w:pPr>
      <w:r>
        <w:rPr>
          <w:rFonts w:ascii="Calibri" w:hAnsi="Calibri"/>
          <w:b/>
          <w:color w:val="4A6B25"/>
          <w:sz w:val="20"/>
        </w:rPr>
        <w:t xml:space="preserve">3. </w:t>
      </w:r>
      <w:r>
        <w:rPr>
          <w:rFonts w:ascii="Calibri" w:hAnsi="Calibri"/>
          <w:b w:val="0"/>
          <w:color w:val="3A4A28"/>
          <w:sz w:val="20"/>
        </w:rPr>
        <w:t>Enact Holdings generating consistent mortgage insurance earnings with Q1 2026 results beating estimates by 87%, with potential for special dividends or further equity monetization to close the holding company discount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Legacy long-term care insurance liability carries material tail risk — historical under-reserving ($531M reserve increase), $219M settlement, and ongoing class action litigation over concealed premium increase plans create unpredictable liability exposure that could consume years of earnings [4][5]</w:t>
      </w:r>
    </w:p>
    <w:p>
      <w:pPr>
        <w:spacing w:before="40" w:after="40"/>
        <w:ind w:left="283"/>
      </w:pPr>
      <w:r>
        <w:rPr>
          <w:rFonts w:ascii="Calibri" w:hAnsi="Calibri"/>
          <w:b/>
          <w:color w:val="4A6B25"/>
          <w:sz w:val="20"/>
        </w:rPr>
        <w:t xml:space="preserve">2. </w:t>
      </w:r>
      <w:r>
        <w:rPr>
          <w:rFonts w:ascii="Calibri" w:hAnsi="Calibri"/>
          <w:b w:val="0"/>
          <w:color w:val="3A4A28"/>
          <w:sz w:val="20"/>
        </w:rPr>
        <w:t>Flat-to-declining revenue trajectory (-1.3% 5yr CAGR) with 80% of technology spend on legacy system maintenance, ROE of 3.47%, and forward P/E of 24.18x make the valuation difficult to justify on fundamental growth metrics</w:t>
      </w:r>
    </w:p>
    <w:p>
      <w:pPr>
        <w:spacing w:before="40" w:after="40"/>
        <w:ind w:left="283"/>
      </w:pPr>
      <w:r>
        <w:rPr>
          <w:rFonts w:ascii="Calibri" w:hAnsi="Calibri"/>
          <w:b/>
          <w:color w:val="4A6B25"/>
          <w:sz w:val="20"/>
        </w:rPr>
        <w:t xml:space="preserve">3. </w:t>
      </w:r>
      <w:r>
        <w:rPr>
          <w:rFonts w:ascii="Calibri" w:hAnsi="Calibri"/>
          <w:b w:val="0"/>
          <w:color w:val="3A4A28"/>
          <w:sz w:val="20"/>
        </w:rPr>
        <w:t>CareScout investment consuming capital with uncertain payoff — the $25M revenue target for 2026 is immaterial relative to $7.3B total revenue, and the platform faces competition from established aging-services companies with more resources and market presence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Insurance is a heavily regulated, data-intensive industry where AI enhances rather than displaces the core business model. Mortgage insurance through Enact relies on regulatory mandates requiring private MI for loans with less than 20% down payment — AI cannot substitute for this regulatory requirement [1]. Long-term care insurance involves physical-world caregiving that AI cannot replace; the claims management and actuarial reserving processes have deep regulatory oversight and proprietary data moats. State-by-state insurance regulation creates compliance barriers that AI-native startups cannot easily navigate. Claims processing and underwriting may benefit from AI automation, reducing costs rather than eliminating demand. AI Opportunity (0/1): No AI-generated revenue has been disclosed despite CEO emphasis on digital transformation. The CIO hire and board appointment signal strategic intent, and CareScout could incorporate AI-powered matching, but no quantified AI revenue exists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38</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Genworth Financial Q2 2026 Earnings Release — $1.901B revenue (+5.9% YoY), EPS $0.29 (314% beat), new insurance written +15%, holding company cash $215M, $103M Enact capital returns; Q1 2026 adjusted operating EPS $0.28 (87% beat), investor.genworth.com, May-July 2026</w:t>
      </w:r>
    </w:p>
    <w:p>
      <w:pPr>
        <w:spacing w:before="20" w:after="20"/>
        <w:ind w:left="170"/>
      </w:pPr>
      <w:r>
        <w:rPr>
          <w:rFonts w:ascii="Calibri" w:hAnsi="Calibri"/>
          <w:b/>
          <w:color w:val="4A6B25"/>
          <w:sz w:val="15"/>
        </w:rPr>
        <w:t xml:space="preserve">2. </w:t>
      </w:r>
      <w:r>
        <w:rPr>
          <w:rFonts w:ascii="Calibri" w:hAnsi="Calibri"/>
          <w:b w:val="0"/>
          <w:color w:val="3A4A28"/>
          <w:sz w:val="17"/>
        </w:rPr>
        <w:t>Genworth Financial leadership and culture — CIO Morris Taylor hire, Board member Steven Van Wyk, USA Today Top Workplace, CEO McInerney AI/digital focus, 2025-2026</w:t>
      </w:r>
    </w:p>
    <w:p>
      <w:pPr>
        <w:spacing w:before="20" w:after="20"/>
        <w:ind w:left="170"/>
      </w:pPr>
      <w:r>
        <w:rPr>
          <w:rFonts w:ascii="Calibri" w:hAnsi="Calibri"/>
          <w:b/>
          <w:color w:val="4A6B25"/>
          <w:sz w:val="15"/>
        </w:rPr>
        <w:t xml:space="preserve">3. </w:t>
      </w:r>
      <w:r>
        <w:rPr>
          <w:rFonts w:ascii="Calibri" w:hAnsi="Calibri"/>
          <w:b w:val="0"/>
          <w:color w:val="3A4A28"/>
          <w:sz w:val="17"/>
        </w:rPr>
        <w:t>Genworth Foundation — $2.6M in grants, $513K employee donations, $400K matching gifts, 2024 Annual Report</w:t>
      </w:r>
    </w:p>
    <w:p>
      <w:pPr>
        <w:spacing w:before="20" w:after="20"/>
        <w:ind w:left="170"/>
      </w:pPr>
      <w:r>
        <w:rPr>
          <w:rFonts w:ascii="Calibri" w:hAnsi="Calibri"/>
          <w:b/>
          <w:color w:val="4A6B25"/>
          <w:sz w:val="15"/>
        </w:rPr>
        <w:t xml:space="preserve">4. </w:t>
      </w:r>
      <w:r>
        <w:rPr>
          <w:rFonts w:ascii="Calibri" w:hAnsi="Calibri"/>
          <w:b w:val="0"/>
          <w:color w:val="3A4A28"/>
          <w:sz w:val="17"/>
        </w:rPr>
        <w:t>Class Action Litigation — Genworth LTC premium increase concealment allegations, $219M reserve misstatement settlement, classaction.org</w:t>
      </w:r>
    </w:p>
    <w:p>
      <w:pPr>
        <w:spacing w:before="20" w:after="20"/>
        <w:ind w:left="170"/>
      </w:pPr>
      <w:r>
        <w:rPr>
          <w:rFonts w:ascii="Calibri" w:hAnsi="Calibri"/>
          <w:b/>
          <w:color w:val="4A6B25"/>
          <w:sz w:val="15"/>
        </w:rPr>
        <w:t xml:space="preserve">5. </w:t>
      </w:r>
      <w:r>
        <w:rPr>
          <w:rFonts w:ascii="Calibri" w:hAnsi="Calibri"/>
          <w:b w:val="0"/>
          <w:color w:val="3A4A28"/>
          <w:sz w:val="17"/>
        </w:rPr>
        <w:t>Genworth LTC Claims Controversies — claims denial patterns, under-reserving history, regulatory scrutiny, sandstonelawgroup.com and erisaattorneys.com</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