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GPCR</w:t>
      </w:r>
      <w:r>
        <w:rPr>
          <w:rFonts w:ascii="Calibri" w:hAnsi="Calibri"/>
          <w:b/>
          <w:color w:val="1A2010"/>
          <w:sz w:val="40"/>
        </w:rPr>
        <w:t xml:space="preserve">  Structure Therapeutics Inc.</w:t>
      </w:r>
    </w:p>
    <w:p>
      <w:pPr>
        <w:spacing w:after="120"/>
      </w:pPr>
      <w:r>
        <w:rPr>
          <w:rFonts w:ascii="Calibri" w:hAnsi="Calibri"/>
          <w:b/>
          <w:color w:val="6E8450"/>
          <w:sz w:val="18"/>
        </w:rPr>
        <w:t>GROWTH SLEEVE · 2026-09-29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Structure Therapeutics is a clinical-stage biopharmaceutical company developing novel oral small-molecule therapeutics targeting G-protein coupled receptors (GPCRs) for chronic diseases with unmet medical needs. Headquartered in South San Francisco, the company's lead candidate aleniglipron (GSBR-1290) is an oral GLP-1 receptor agonist in Phase 2b trials for obesity and related conditions. The pipeline includes ACCG-2671 and ACCG-3535 (oral amylin receptor agonists), ANPA-0073 (APJ agonist), LTSE-2578 (LPA1 antagonist for IPF), and GIPR/GCGR modulation programs. H1 2026 net loss was $182.1M with $1.34B cash on hand and zero product revenue.</w:t>
      </w:r>
    </w:p>
    <w:p>
      <w:r>
        <w:rPr>
          <w:rFonts w:ascii="Calibri" w:hAnsi="Calibri"/>
          <w:b/>
          <w:color w:val="6E8450"/>
          <w:sz w:val="18"/>
        </w:rPr>
        <w:t>281 Employees · https://structuretx.com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Structure Therapeutics has advanced aleniglipron (GSBR-1290) from discovery to Phase 2b clinical trials with strong efficacy and safety signals as of January 2026, positioning it as one of the leading oral GLP-1 agonists in the massive obesity market [1]. The company's GPCR-focused small molecule platform has generated multiple clinical candidates across distinct therapeutic targets (GLP-1, amylin, APJ, LPA1, GIPR, GCGR), demonstrating productive discovery capabilities [1]. AI Deployment (2/2): Structure Therapeutics is actively hiring for AI roles including Director of Clinical AI Technologies, integrating AI into clinical trial design, drug discovery optimization, and operational efficiency — a leading-edge approach for a company of this size [2]. The platform leverages computational approaches for GPCR target identification and molecular design. Market Share (1/2): The oral GLP-1 market is early-stage with no approved oral small molecule GLP-1 agonists, positioning GSBR-1290 among a small cohort of potential first-movers alongside Pfizer's danuglipron, competing for a share of the $100B+ obesity therapeutics market [1]. Pipeline (1/2): Five distinct clinical programs plus preclinical GIPR and GCGR programs provide platform diversification, with Phase 2b ACCESS trial in approximately 220 participants initiated Q4 2024 [1]. R&amp;D Intensity (1/1): The company invested $182.1M in H1 2026 alone, reflecting aggressive R&amp;D commitment funded by the $1.34B cash war chest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Structure Therapeutics' mission of developing novel oral treatments for chronic diseases with unmet medical needs — particularly obesity, which affects over 40% of American adults — connects to a genuine and large-scale health impact [1]. The focus on oral small molecules addresses a real patient need, as current GLP-1 treatments (semaglutide, tirzepatide) require injections that many patients avoid. Community Impact (1/2): The company's clinical trials provide treatment access to patients with obesity and related conditions. However, as a pre-revenue clinical-stage company, broader community impact is limited to scientific contributions and employment. Employee Retention (1/2): CEO Raymond Stevens leads a 281-person team. Glassdoor reviews are mixed — positive reviews praise innovation and generous employee treatment, while negative reviews cite cliquish team culture, limited leadership engagement, and concerns about quality versus speed prioritization [2]. Insider Buying (1/2): No significant insider selling patterns were identified, suggesting management conviction in the pipeline value.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Growth sleeve weights. D/E of 0.46% is essentially zero debt, scoring perfectly against the 70% target [4]. ROE of -20.2% is deeply negative reflecting the pre-revenue clinical-stage model (2x weight, score 0) [4]. Revenue growth metrics are not applicable — the company has zero product revenue [1]. Forward P/E of -16.6 reflects unprofitability and is not meaningful for valuation (score 0) [4]. Profit margin is 0% at the floor [4]. PEG ratio unavailable (2x weight, neutral). The one clear financial strength is the $1.34B cash position against only $6.2M total debt, providing approximately 3.5 years of runway at the current H1 2026 burn rate of $182.1M annualized [1][4]. Stock clears the liquidity floor with ~$29.8M daily trading value on 850,485 avg daily volume. These infrastructure weaknesses are typical for clinical-stage biotech and reflect the binary nature of the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Structure Therapeutics demonstrates moderate infinite game characteristics rooted in its mission to develop oral treatments for chronic diseases affecting hundreds of millions of patients. The breadth of the pipeline — spanning obesity (GLP-1, amylin), cardiovascular (APJ), pulmonary fibrosis (LPA1), and metabolic targets — reflects platform-level thinking beyond any single product. However, as a clinical-stage company with no revenue, the organization's survival depends on binary clinical trial outcomes and capital markets access, creating an inherently finite-game constraint on long-term planning. Mixed Glassdoor reviews suggesting leadership gaps and cultural cliques also temper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Structure Therapeutics' mission of developing oral small molecule treatments for chronic diseases with unmet needs — particularly obesity, which is one of the largest health crises globally — represents a genuine cause with enormous potential patient impact [1]. The focus on oral formulations addresses a real barrier to treatment adoption (injection aversion). The breadth of the GPCR platform across multiple disease areas suggests a purpose beyond any single commercial opportunity. However, the cause is common across hundreds of biotech companies and not distinctively articulated.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reveal meaningful cultural concerns. Positive reviews describe an innovative environment with generous employee treatment, but negative reviews characterize team culture as 'highly cliquish and at times exclusionary' with 'limited direction' from management [2]. One review stated senior leadership 'knows nothing of innovative research methods and does not value quality or compliance' and 'drives timelines over qualitative outcomes.' This tension between scientific rigor and speed suggests trust deficits in the 281-person organization that could impact execution quality on critical clinical programs.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Structure Therapeutics competes against pharmaceutical giants (Eli Lilly, Novo Nordisk, Pfizer) and biotech peers (Viking Therapeutics, Terns Pharmaceuticals) in the oral obesity therapeutics race. The company's competitive strategy focuses on its GPCR small molecule platform advantage rather than attempting to match the scale of large pharma rivals. The willingness to compete in a market dominated by industry titans reflects ambition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breadth of Structure's pipeline across six distinct therapeutic programs provides strategic optionality — if the lead obesity program (GSBR-1290) fails, the company has backup candidates (ACCG-2671, ACCG-3535 amylin agonists) and entirely different therapeutic areas (IPF with LTSE-2578, cardiovascular with ANPA-0073) [1]. The company formerly operated as ShouTi Inc. before rebranding, demonstrating willingness to evolve identity. However, survival remains binary on clinical trial outcomes, limiting true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Structure Therapeutics has demonstrated willingness to invest aggressively in multiple clinical programs simultaneously, burning $182.1M in H1 2026 alone to advance a broad pipeline [1]. Competing head-on with Eli Lilly and Novo Nordisk in the oral obesity space requires conviction. The company raised capital to fund a multi-year runway ($1.34B cash). However, the courage is constrained by the clinical-stage model — spending investor capital on R&amp;D is the default state rather than a bold capital allocation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Structure Therapeutics offers high-upside exposure to the $100B+ oral obesity therapeutics market through aleniglipron (GSBR-1290), one of the leading oral GLP-1 agonist candidates in Phase 2b development [1]. The company's GPCR-focused small molecule platform has generated six distinct clinical programs, providing pipeline diversification rare for a $2.5B market cap biotech. The $1.34B cash position against minimal debt ($6.2M) provides approximately 3.5 years of runway at current burn rates, eliminating near-term dilution risk [4]. Active AI deployment in drug discovery and clinical operations positions the company at the technology frontier of pharmaceutical development [2]. At $35 per share (down from $94.90 52-week high), the stock has significantly de-risked from peak valuation while the pipeline continues to advance.</w:t>
      </w:r>
    </w:p>
    <w:p>
      <w:pPr>
        <w:spacing w:after="120"/>
      </w:pPr>
      <w:r>
        <w:rPr>
          <w:rFonts w:ascii="Calibri" w:hAnsi="Calibri"/>
          <w:b w:val="0"/>
          <w:color w:val="3A4A28"/>
          <w:sz w:val="20"/>
        </w:rPr>
        <w:t>The bear case centers on clinical, competitive, and financial risks inherent to pre-revenue biotech. The company has zero product revenue and posted a $182.1M net loss in H1 2026, with no near-term path to profitability [1]. Aleniglipron competes against Pfizer's danuglipron and numerous other oral GLP-1 candidates, plus the dominant injectable franchise of Eli Lilly (tirzepatide) and Novo Nordisk (semaglutide) — any of which could render GSBR-1290 commercially unviable on efficacy, safety, or convenience grounds. Phase 2b results are not yet available, and clinical-stage biotech programs have historically high failure rates (~90% from Phase 2 to approval). The 63% stock decline from 52-week highs ($94.90 to $35.07) may reflect emerging competitive concerns. Glassdoor reviews citing leadership gaps, cliquish culture, and quality-vs-speed tensions raise execution risk for a company whose value depends entirely on clinical precision [2]. The Inspire score of 0 (MIXED) with no attributions reflects limited ESG visibility for a clinical-stage biotech.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2b ACCESS trial readout for aleniglipron (GSBR-1290) in obesity — positive efficacy and safety data could drive significant revaluation of the $2.5B market cap toward the $100B+ oral obesity market opportunity [1]</w:t>
      </w:r>
    </w:p>
    <w:p>
      <w:pPr>
        <w:spacing w:before="40" w:after="40"/>
        <w:ind w:left="283"/>
      </w:pPr>
      <w:r>
        <w:rPr>
          <w:rFonts w:ascii="Calibri" w:hAnsi="Calibri"/>
          <w:b/>
          <w:color w:val="4A6B25"/>
          <w:sz w:val="20"/>
        </w:rPr>
        <w:t xml:space="preserve">2. </w:t>
      </w:r>
      <w:r>
        <w:rPr>
          <w:rFonts w:ascii="Calibri" w:hAnsi="Calibri"/>
          <w:b w:val="0"/>
          <w:color w:val="3A4A28"/>
          <w:sz w:val="20"/>
        </w:rPr>
        <w:t>Pipeline advancement across amylin (ACCG-2671/3535), APJ (ANPA-0073), and LPA1 (LTSE-2578) programs provides multiple shots on goal and potential partnership opportunities with larger pharmaceutical companies [1]</w:t>
      </w:r>
    </w:p>
    <w:p>
      <w:pPr>
        <w:spacing w:before="40" w:after="40"/>
        <w:ind w:left="283"/>
      </w:pPr>
      <w:r>
        <w:rPr>
          <w:rFonts w:ascii="Calibri" w:hAnsi="Calibri"/>
          <w:b/>
          <w:color w:val="4A6B25"/>
          <w:sz w:val="20"/>
        </w:rPr>
        <w:t xml:space="preserve">3. </w:t>
      </w:r>
      <w:r>
        <w:rPr>
          <w:rFonts w:ascii="Calibri" w:hAnsi="Calibri"/>
          <w:b w:val="0"/>
          <w:color w:val="3A4A28"/>
          <w:sz w:val="20"/>
        </w:rPr>
        <w:t>AI-driven clinical trial optimization and drug discovery could accelerate development timelines and reduce costs relative to competitors using traditional approaches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 Phase 2b failure for aleniglipron would devastate the stock given the company's zero-revenue status and $182.1M H1 2026 burn rate, potentially forcing a strategic pivot or fire-sale of the platform [1]</w:t>
      </w:r>
    </w:p>
    <w:p>
      <w:pPr>
        <w:spacing w:before="40" w:after="40"/>
        <w:ind w:left="283"/>
      </w:pPr>
      <w:r>
        <w:rPr>
          <w:rFonts w:ascii="Calibri" w:hAnsi="Calibri"/>
          <w:b/>
          <w:color w:val="4A6B25"/>
          <w:sz w:val="20"/>
        </w:rPr>
        <w:t xml:space="preserve">2. </w:t>
      </w:r>
      <w:r>
        <w:rPr>
          <w:rFonts w:ascii="Calibri" w:hAnsi="Calibri"/>
          <w:b w:val="0"/>
          <w:color w:val="3A4A28"/>
          <w:sz w:val="20"/>
        </w:rPr>
        <w:t>Intense competitive pressure from Eli Lilly (tirzepatide), Novo Nordisk (semaglutide), Pfizer (danuglipron), and Viking Therapeutics in the oral obesity space — even positive trial data may not be sufficient if competitors achieve superior efficacy, safety, or market access [1]</w:t>
      </w:r>
    </w:p>
    <w:p>
      <w:pPr>
        <w:spacing w:before="40" w:after="40"/>
        <w:ind w:left="283"/>
      </w:pPr>
      <w:r>
        <w:rPr>
          <w:rFonts w:ascii="Calibri" w:hAnsi="Calibri"/>
          <w:b/>
          <w:color w:val="4A6B25"/>
          <w:sz w:val="20"/>
        </w:rPr>
        <w:t xml:space="preserve">3. </w:t>
      </w:r>
      <w:r>
        <w:rPr>
          <w:rFonts w:ascii="Calibri" w:hAnsi="Calibri"/>
          <w:b w:val="0"/>
          <w:color w:val="3A4A28"/>
          <w:sz w:val="20"/>
        </w:rPr>
        <w:t>Glassdoor-documented cultural and leadership concerns — quality-vs-speed tensions and cliquish team dynamics create execution risk at the most critical stage of clinical development, where data quality determines regulatory outcomes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Structure Therapeutics' core business of clinical-stage drug development is well-insulated from AI disruption — AI cannot replace the need for rigorous clinical trials, FDA regulatory pathways, patient safety monitoring, and physical drug manufacturing [1]. The GPCR-focused small molecule platform involves proprietary chemistry and biological expertise that AI augments rather than replaces. The obesity therapeutic market is driven by clinical outcomes and regulatory approvals, not technology disruption. However, AI-powered drug discovery platforms (Recursion, Insilico Medicine, Isomorphic Labs) could accelerate competitor programs and compress Structure's first-mover window [2]. Larger pharma companies (Eli Lilly, Novo Nordisk, Pfizer) have vastly greater AI/ML capabilities for parallel drug development. AI Opportunity (1/1): The company is actively deploying AI in clinical trial design and operations, with a dedicated Director of Clinical AI Technologies role focused on translating clinical needs into AI-driven solutions [2]. AI-enhanced patient recruitment, trial optimization, and molecular design could accelerate the pipeline and reduce development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Structure Therapeutics Q1 2026 and FY2025 Earnings Releases, H1 2026 10-Q — GSBR-1290 Phase 2b ACCESS Trial, Pipeline Overview (ACCG-2671/3535, ANPA-0073, LTSE-2578, GIPR/GCGR), $182.1M H1 2026 Net Loss, $1.34B Cash Position, BioSpace, GlobeNewsWire, SEC Filings,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Structure Therapeutics Leadership, Culture, Glassdoor Reviews, AI Innovation — CEO Raymond Stevens, Director Clinical AI Technologies Role, Glassdoor 2-star reviews citing leadership gaps and cliquish culture, Craft.co, TheOrg,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Structure Therapeutics ESG Profile — PitchBook, SEC 10-Q, No Identified ESG Controversies,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Structure Therapeutics Financial Statistics — Yahoo Finance: Stock Price $35.07, Market Cap $2.5B, Forward P/E -16.6, ROE -20.2%, D/E 0.46%, Cash $1.34B, 52-Week High $94.90, Avg Volume 850,485,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