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GPC</w:t>
      </w:r>
      <w:r>
        <w:rPr>
          <w:rFonts w:ascii="Calibri" w:hAnsi="Calibri"/>
          <w:b/>
          <w:color w:val="1A2010"/>
          <w:sz w:val="40"/>
        </w:rPr>
        <w:t xml:space="preserve">  Genuine Parts Company</w:t>
      </w:r>
    </w:p>
    <w:p>
      <w:pPr>
        <w:spacing w:after="120"/>
      </w:pPr>
      <w:r>
        <w:rPr>
          <w:rFonts w:ascii="Calibri" w:hAnsi="Calibri"/>
          <w:b/>
          <w:color w:val="6E8450"/>
          <w:sz w:val="18"/>
        </w:rPr>
        <w:t>DIVIDEND SLEEVE · 2026-08-28 · Inspire: 57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Parts Distribution · NYSE · United States</w:t>
      </w:r>
    </w:p>
    <w:p>
      <w:pPr>
        <w:spacing w:after="80"/>
      </w:pPr>
      <w:r>
        <w:rPr>
          <w:rFonts w:ascii="Calibri" w:hAnsi="Calibri"/>
          <w:b w:val="0"/>
          <w:color w:val="3A4A28"/>
          <w:sz w:val="20"/>
        </w:rPr>
        <w:t>Genuine Parts Company is a global distributor of automotive and industrial replacement parts through the NAPA Auto Parts and Motion Industries brands, operating 10,700+ locations across 17 countries. GPC reported Q2 2026 revenue of $6.54B (+6.0% YoY) with adjusted EPS of $2.15, beating consensus. The company reaffirmed FY2026 adjusted EPS guidance of $7.50-$8.00 and remains on track to separate automotive and industrial businesses into two publicly traded companies by Q1 2027. A Dividend King with 70 consecutive years of dividend increases.</w:t>
      </w:r>
    </w:p>
    <w:p>
      <w:r>
        <w:rPr>
          <w:rFonts w:ascii="Calibri" w:hAnsi="Calibri"/>
          <w:b/>
          <w:color w:val="6E8450"/>
          <w:sz w:val="18"/>
        </w:rPr>
        <w:t>65,000 Employees · https://www.genpt.com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GPC grew revenue from $16.5B (2020) to $24.7B TTM (2026), a 49% increase driven by organic growth, pricing, and bolt-on acquisitions [1]. The planned separation of automotive (NAPA) and industrial (Motion) divisions into two publicly traded companies by Q1 2027 represents the most significant strategic transformation in GPC's 97-year history, driven by activist investor Elliott Investment Management's involvement [2]. However, the core business model — parts distribution — remains fundamentally unchanged. AI Deployment (1/2): GPC deployed 'ChatGPC,' an internal AI assistant with 6,000 active users operating on company data within governance standards, and AI-driven demand forecasting models improving fill rates and reducing stockouts across thousands of SKUs [2]. Ecommerce penetration increased 800 basis points in 2025, supported by AI-enhanced digital tools. Market Share (2/2): NAPA is a leading automotive aftermarket brand with dominant market position in North America and growing international presence across 17 countries [1]. Motion Industries is the #2 industrial distributor in North America. Product Pipeline (1/2): Brightpick warehouse automation pilot expanded from one to two sites, and cloud migration initiatives are modernizing North American automotive systems [2]. R&amp;D Intensity (0/1): Distribution companies do not typically report R&amp;D; GPC's $450-500M capex budget supports technology and supply chain transformation but does not constitute frontier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GPC's purpose statement 'We Keep the World Moving' is clear, differentiated, and connects the company's distribution work to essential societal infrastructure — keeping vehicles running and industrial equipment operational [2]. The purpose is specific enough to distinguish GPC from generic corporate statements but has not been validated through the kind of transformative crisis that earns the highest marks. Community Impact (1/2): GPC invests in community through its corporate citizenship pillar, publishes annual sustainability reports aligned with SASB and TCFD frameworks, and maintains a low ESG risk score of 12.8 from Sustainalytics [3]. However, no distinctive foundation or signature charitable program with specific dollar amounts was identified. Employee Retention (1/2): Named to Forbes 2026 Most Trusted Companies in America list [2]. Glassdoor rating of 3.3/5 with 57% recommending is adequate but not exceptional — some employees cite culture shifts and reduced commitment to long-tenure staff since senior management changes. The promotion of CEO Will Stengel from within (joined 2019, CEO by 2024) signals a develop-from-within culture. Insider Buying (1/2): No specific net insider buying data identified in recent transactions, but CEO Stengel's rapid internal promotion and equity-based compensation provide meaningful alignment with shareholders.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metrics using adjusted/normalized figures (GAAP distorted by $225-250M separation-related restructuring charges in 2026). GPC's crown jewel is its 70 consecutive years of dividend increases — the longest active streak of any component in this analysis and Dividend King status, scoring maximum on consecutive years paid and growth (combined 3x weight) [1]. Forward P/E of 17.31 is well below the 20 target [4]. Normalized ROE of ~17% exceeds the 15% threshold, using adjusted EPS guidance of $7.50-$8.00 [1]. D/E of 110% is above the 70% target reflecting acquisition-driven leverage but well within the 300% floor. Revenue growth YoY of 4.79% (TTM) and 5-year CAGR of 9.2% are strong for a distribution business [1]. The primary weaknesses are thin normalized profit margin of ~3.4% (structural for distribution) and adjusted payout ratio of ~55% against the 40% target. Q2 2026 adjusted EPS of $2.15 beat consensus of $2.08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Genuine Parts Company demonstrates meaningful infinite game characteristics rooted in its 97-year history and 70-year dividend growth streak — few companies in any industry have demonstrated this level of long-term consistency. The 'We Keep the World Moving' purpose connects to enduring societal needs. However, the planned business separation was driven by activist pressure from Elliott Investment Management rather than organic strategic vision, and the company's competitive language at times tilts toward finite framing. The transition period creates uncertainty about whether the infinite-game orientation survives the corporate breakup.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'We Keep the World Moving' as a purpose statement connects GPC's parts distribution work to essential infrastructure that society depends on [2]. The company has demonstrated remarkable consistency — 97 years of continuous operation, 70 consecutive years of dividend increases, and sustained market leadership through multiple economic cycles, leadership transitions, and industry transformations. The NAPA brand has endured for generations. However, the purpose has not been tested by an existential crisis that would validate it as a true Just Cause — the planned separation was driven by activist Elliott Investment Management rather than purpose-driven leadership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GPC was named to the Forbes 2026 Most Trusted Companies in America list, suggesting external recognition of organizational trust [2]. The promote-from-within culture is evidenced by CEO Stengel's progression from EVP (2019) to President (2021) to CEO (2024). Glassdoor rating of 3.3/5 is adequate with some reviews noting that culture has changed quickly with senior management turnover and the focus shifting toward stock price from employee commitment. The CIO departure and activist-driven separation create organizational uncertainty during a critical transition period.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GPC's competitive approach focuses on improving its own capabilities rather than destroying competitors. The company's investments in AI, ecommerce, and warehouse automation are framed as improving customer experience and operational efficiency rather than 'beating' AutoZone, O'Reilly, or Grainger [2]. Management commentary focuses on GPC's transformation journey and capability building, reflecting an infinite competitive mindset oriented toward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planned separation of automotive (NAPA) and industrial (Motion) businesses into two publicly traded companies by Q1 2027 represents willingness to fundamentally restructure a 97-year-old corporate structure [2]. The company has also evolved from a domestic distributor to a global operation across 17 countries. However, the separation was prompted by activist pressure from Elliott Investment Management rather than proactive vision, and the core business model — parts distribution — has not fundamentally 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invest $225-250M in transformation and separation costs during 2026 while maintaining the 70-year dividend growth streak demonstrates willingness to sacrifice near-term GAAP earnings for long-term structural value [1]. The reaffirmation of adjusted EPS guidance at $7.50-$8.00 despite restructuring headwinds shows conviction. However, the most significant strategic decision — the business separation — was driven by activist pressure rather than courageous internal leadership, and the company's Glassdoor culture feedback suggests the transformation may be prioritizing shareholder returns over employee experience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Genuine Parts Company offers a compelling income-and-value proposition anchored by its 70 consecutive years of dividend increases (Dividend King status), 3.53% yield, and forward P/E of 17.31 [1][4]. Q2 2026 revenue of $6.54B grew 6.0% YoY with adjusted EPS of $2.15 beating consensus of $2.08, and full-year adjusted EPS guidance of $7.50-$8.00 was reaffirmed [1]. The planned separation into automotive (NAPA) and industrial (Motion) publicly traded companies by Q1 2027 could unlock substantial hidden value as each business trades at higher pure-play multiples. FY2025 segment revenue of $15.4B automotive and $8.9B industrial with ~$1.1-1.2B EBITDA each demonstrates two businesses of significant scale. The adjusted payout ratio of ~55% provides comfortable dividend coverage [1].</w:t>
      </w:r>
    </w:p>
    <w:p>
      <w:pPr>
        <w:spacing w:after="120"/>
      </w:pPr>
      <w:r>
        <w:rPr>
          <w:rFonts w:ascii="Calibri" w:hAnsi="Calibri"/>
          <w:b w:val="0"/>
          <w:color w:val="3A4A28"/>
          <w:sz w:val="20"/>
        </w:rPr>
        <w:t>The primary risk is execution through a complex transformation — GAAP earnings are severely distorted by $225-250M in separation-related restructuring charges (GAAP profit margin 0.13%, ROE 0.71%), and the business separation involves significant management distraction during a period when both businesses face headwinds [1]. The automotive segment faces secular EV headwinds (fewer replacement parts than ICE vehicles), and the departure of CIO Naveen Krishna in April 2026 creates a technology leadership gap at a critical juncture [2]. D/E of 110% reflects acquisition-driven leverage, and the company carries $6.65B in debt against only $559M in cash. The 5-year dividend growth CAGR of 5.7% is below the 6% target, and maintaining the 70-year streak may increasingly strain adjusted earnings if organic growth decelerates below the 3-5.5% revenue guidance range. Some Glassdoor reviews indicate culture erosion with management focused on stock price over employee experience, a risk that intensifies during corporate restructuring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Planned Q1 2027 separation of automotive (NAPA, $15.4B revenue) and industrial (Motion, $8.9B revenue) businesses into two publicly traded entities, potentially unlocking value through higher pure-play multiples and strategic optionality [2]</w:t>
      </w:r>
    </w:p>
    <w:p>
      <w:pPr>
        <w:spacing w:before="40" w:after="40"/>
        <w:ind w:left="283"/>
      </w:pPr>
      <w:r>
        <w:rPr>
          <w:rFonts w:ascii="Calibri" w:hAnsi="Calibri"/>
          <w:b/>
          <w:color w:val="4A6B25"/>
          <w:sz w:val="20"/>
        </w:rPr>
        <w:t xml:space="preserve">2. </w:t>
      </w:r>
      <w:r>
        <w:rPr>
          <w:rFonts w:ascii="Calibri" w:hAnsi="Calibri"/>
          <w:b w:val="0"/>
          <w:color w:val="3A4A28"/>
          <w:sz w:val="20"/>
        </w:rPr>
        <w:t>AI-driven transformation delivering anticipated benefits from ChatGPC (6,000 users), demand forecasting optimization, and Brightpick warehouse automation scaling beyond pilot sites [2]</w:t>
      </w:r>
    </w:p>
    <w:p>
      <w:pPr>
        <w:spacing w:before="40" w:after="40"/>
        <w:ind w:left="283"/>
      </w:pPr>
      <w:r>
        <w:rPr>
          <w:rFonts w:ascii="Calibri" w:hAnsi="Calibri"/>
          <w:b/>
          <w:color w:val="4A6B25"/>
          <w:sz w:val="20"/>
        </w:rPr>
        <w:t xml:space="preserve">3. </w:t>
      </w:r>
      <w:r>
        <w:rPr>
          <w:rFonts w:ascii="Calibri" w:hAnsi="Calibri"/>
          <w:b w:val="0"/>
          <w:color w:val="3A4A28"/>
          <w:sz w:val="20"/>
        </w:rPr>
        <w:t>Automotive aftermarket resilience driven by aging U.S. vehicle fleet (average age 12.6 years) and increasing repair complexity requiring professional-grade parts and NAPA's brand trust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Business separation execution risk — $225-250M in restructuring costs distorting GAAP earnings, CIO departure creating technology leadership gap, and Moody's negative outlook reflecting concern about the transformation's financial impact [1][2]</w:t>
      </w:r>
    </w:p>
    <w:p>
      <w:pPr>
        <w:spacing w:before="40" w:after="40"/>
        <w:ind w:left="283"/>
      </w:pPr>
      <w:r>
        <w:rPr>
          <w:rFonts w:ascii="Calibri" w:hAnsi="Calibri"/>
          <w:b/>
          <w:color w:val="4A6B25"/>
          <w:sz w:val="20"/>
        </w:rPr>
        <w:t xml:space="preserve">2. </w:t>
      </w:r>
      <w:r>
        <w:rPr>
          <w:rFonts w:ascii="Calibri" w:hAnsi="Calibri"/>
          <w:b w:val="0"/>
          <w:color w:val="3A4A28"/>
          <w:sz w:val="20"/>
        </w:rPr>
        <w:t>Secular EV headwind threatens the NAPA automotive aftermarket long-term — electric vehicles require roughly 50% fewer replacement parts than ICE vehicles, and accelerating EV penetration contracts the addressable market over time</w:t>
      </w:r>
    </w:p>
    <w:p>
      <w:pPr>
        <w:spacing w:before="40" w:after="40"/>
        <w:ind w:left="283"/>
      </w:pPr>
      <w:r>
        <w:rPr>
          <w:rFonts w:ascii="Calibri" w:hAnsi="Calibri"/>
          <w:b/>
          <w:color w:val="4A6B25"/>
          <w:sz w:val="20"/>
        </w:rPr>
        <w:t xml:space="preserve">3. </w:t>
      </w:r>
      <w:r>
        <w:rPr>
          <w:rFonts w:ascii="Calibri" w:hAnsi="Calibri"/>
          <w:b w:val="0"/>
          <w:color w:val="3A4A28"/>
          <w:sz w:val="20"/>
        </w:rPr>
        <w:t>Thin normalized profit margin of ~3.4% provides minimal buffer for tariff impacts, inflationary cost pressures (wages, rent, freight), or cyclical revenue softness in the Motion Industrial segment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GPC's core business — physical distribution of auto and industrial parts through 10,700+ locations — has strong moats against AI disruption. Parts distribution requires warehouses, trucks, physical inventory, last-mile delivery capability, and deep SKU expertise across millions of parts that AI cannot substitute [1][2]. The NAPA brand and professional mechanic relationships create switching costs. However, AI-driven inventory optimization by competitors and potential disintermediation through manufacturer-direct platforms represent moderate long-term risks. The secular shift to electric vehicles, which require fewer replacement parts than internal combustion engines, is a structural challenge amplified by AI-optimized manufacturing that could reduce part failure rates. The departure of CIO Naveen Krishna in April 2026 creates a gap in technology leadership during a critical digital transformation period [2]. AI Opportunity (1/1): GPC is actively deploying AI with measurable business impact — ChatGPC has 6,000 active users, AI demand forecasting is improving fill rates, and ecommerce penetration grew 800 basis points in 2025 [2]. The Brightpick warehouse automation program demonstrates commitment to AI-enabled operational efficiency.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Genuine Parts Company Q2 2026 Results — Revenue $6.54B (+6.0%), Adjusted EPS $2.15 (Beat $2.08 Consensus), FY2026 Adjusted EPS Guidance $7.50-$8.00 Reaffirmed, July 2026</w:t>
      </w:r>
    </w:p>
    <w:p>
      <w:pPr>
        <w:spacing w:before="20" w:after="20"/>
        <w:ind w:left="170"/>
      </w:pPr>
      <w:r>
        <w:rPr>
          <w:rFonts w:ascii="Calibri" w:hAnsi="Calibri"/>
          <w:b/>
          <w:color w:val="4A6B25"/>
          <w:sz w:val="15"/>
        </w:rPr>
        <w:t xml:space="preserve">2. </w:t>
      </w:r>
      <w:r>
        <w:rPr>
          <w:rFonts w:ascii="Calibri" w:hAnsi="Calibri"/>
          <w:b w:val="0"/>
          <w:color w:val="3A4A28"/>
          <w:sz w:val="17"/>
        </w:rPr>
        <w:t>GPC CEO Leadership (Will Stengel), Digital Transformation (ChatGPC, Brightpick), Business Separation Plans, CIO Departure, Elliott Activism — PR Newswire, CIO Dive, Glassdoor, 2024-2026</w:t>
      </w:r>
    </w:p>
    <w:p>
      <w:pPr>
        <w:spacing w:before="20" w:after="20"/>
        <w:ind w:left="170"/>
      </w:pPr>
      <w:r>
        <w:rPr>
          <w:rFonts w:ascii="Calibri" w:hAnsi="Calibri"/>
          <w:b/>
          <w:color w:val="4A6B25"/>
          <w:sz w:val="15"/>
        </w:rPr>
        <w:t xml:space="preserve">3. </w:t>
      </w:r>
      <w:r>
        <w:rPr>
          <w:rFonts w:ascii="Calibri" w:hAnsi="Calibri"/>
          <w:b w:val="0"/>
          <w:color w:val="3A4A28"/>
          <w:sz w:val="17"/>
        </w:rPr>
        <w:t>GPC Sustainability Report, ESG Ratings (Sustainalytics 12.8 Low Risk), Community Initiatives — genpt.com, CSRHub, KnowESG,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GPC Financial Statistics — StockAnalysis, GuruFocus, Yahoo Finance: Stock Price $120.37, Forward P/E 17.31, D/E 110%, Dividend $4.25/yr,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