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GROY</w:t>
      </w:r>
      <w:r>
        <w:rPr>
          <w:rFonts w:ascii="Calibri" w:hAnsi="Calibri"/>
          <w:b/>
          <w:color w:val="1A2010"/>
          <w:sz w:val="40"/>
        </w:rPr>
        <w:t xml:space="preserve">  Gold Royalty Corp.</w:t>
      </w:r>
    </w:p>
    <w:p>
      <w:pPr>
        <w:spacing w:after="120"/>
      </w:pPr>
      <w:r>
        <w:rPr>
          <w:rFonts w:ascii="Calibri" w:hAnsi="Calibri"/>
          <w:b/>
          <w:color w:val="6E8450"/>
          <w:sz w:val="18"/>
        </w:rPr>
        <w:t>GROWTH SLEEVE · 2026-09-02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American · Canada</w:t>
      </w:r>
    </w:p>
    <w:p>
      <w:pPr>
        <w:spacing w:after="80"/>
      </w:pPr>
      <w:r>
        <w:rPr>
          <w:rFonts w:ascii="Calibri" w:hAnsi="Calibri"/>
          <w:b w:val="0"/>
          <w:color w:val="3A4A28"/>
          <w:sz w:val="20"/>
        </w:rPr>
        <w:t>Gold Royalty Corp. is a precious metals-focused royalty and streaming company that provides creative financing solutions to the metals and mining industry. Founded in 2020 by David Garofalo (former CEO of Goldcorp), the company has assembled a portfolio of over 240 royalties and streams primarily in low-risk jurisdictions across Canada, the United States, Mexico, and Brazil. GROY reported record H1 2026 total revenue of $17.3M (+116% YoY), its first profitable quarter in Q2 2026 with net income of $1.8M, and adjusted EBITDA of $12.6M (+212%). The company operates with zero debt, $12M cash, and a $150M fully undrawn credit facility. Market cap approximately $769M.</w:t>
      </w:r>
    </w:p>
    <w:p>
      <w:r>
        <w:rPr>
          <w:rFonts w:ascii="Calibri" w:hAnsi="Calibri"/>
          <w:b/>
          <w:color w:val="6E8450"/>
          <w:sz w:val="18"/>
        </w:rPr>
        <w:t>16 Employees · https://www.goldroyalty.com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Gold Royalty assembled 240+ royalty and streaming interests from scratch since 2020, growing to a $769M market cap, and achieved its first profitable quarter in Q2 2026 with net income of $1.8M on revenue of $6.7M [1]. H1 2026 total revenue of $17.3M (+116% YoY) and adjusted EBITDA of $12.6M (+212%) demonstrate the royalty aggregation strategy has reached operating inflection, though the royalty business model itself is well-established by Franco-Nevada and Wheaton PM. AI Deployment (0/2): No AI deployment evident. The royalty/streaming model is a financial business with no technology product development or AI-driven efficiency programs. Market Share (0/2): GROY at $769M market cap is a junior player versus Franco-Nevada ($25B+), Wheaton Precious Metals ($30B+), and Royal Gold ($9B+), with no evidence of category leadership [4]. Product Pipeline (1/2): The 2026 outlook of 7,500-9,300 GEOs (mid-point 60%+ growth over 2025) and 2030 outlook of 28,000-34,000 GEOs from existing assets provide specific revenue visibility tied to named mine development timelines including Cote Gold, Borborema, and Pedra Branca [1]. R&amp;D Intensity (0/1): No R&amp;D expenditure — the business model is financial capital allocation, not technical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GROY's stated mission is 'to acquire royalties, streams and similar interests at varying stages of the mine life cycle to build a balanced portfolio offering near, medium and longer-term attractive returns for investors' [3]. Clear about what the company does and for whom, but doesn't articulate a deeper purpose beyond financial returns — interchangeable with most royalty peers. Community Impact (1/2): The company has committed to sustainable mining practices with a portfolio carbon intensity of 0.25 tCO2e per gold equivalent ounce, which it claims leads the royalty sector, and has an ESG and Sustainability Policy emphasizing decarbonization and community contributions [3]. Employee Retention (0/2): With only 16 employees operating through a management services agreement, there is insufficient organizational scale for meaningful retention evaluation. Insider Buying (0/2): No specific CEO or executive net insider buying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GROY's standout strength is its pristine balance sheet with D/E of just 9%, well below the 70% target, and zero outstanding debt against a $150M undrawn credit facility [1][4]. Revenue growth of 116% YoY for H1 2026 significantly exceeds the 10% target as royalty portfolio production ramps across Cote Gold, Borborema, and other assets. Profit margin of 26% exceeds the 20% target, reflecting the high-margin royalty model where revenue flows to the bottom line with minimal operating costs — a major improvement from -5.7% in Q1 2026 alone [1]. The PEG ratio of 0.7 is well below the 1.0 target, indicating attractive growth-adjusted valuation. The primary drag is negative ROE of -1.14%, as the company only recently turned profitable in Q2 2026 after accumulating early-stage losses, scoring zero on the 2x-weighted ROE metric [4]. Forward P/E and 5-year revenue CAGR are unavailable given the company's short operating history. Liquidity clears the floor at approximately $8.1M daily ($3.32 x 2.45M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Gold Royalty shows mixed infinite-game characteristics. CEO David Garofalo's 30+ year mining industry career and consistent articulation of a long-term royalty aggregation strategy reflect patience and vision, and the company has demonstrated willingness to sustain GAAP losses while building structural royalty income streams. However, the six-year-old company has not yet been tested through leadership transitions, market crises, or difficult strategic trade-offs that would validate infinite thinking under pressure.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GROY's purpose is centered on building a premier precious metals royalty company with compounding cash flows for investors. While CEO Garofalo articulates this vision consistently, it reads as a financial strategy rather than a transformative Just Cause — the company exists to generate returns through financial engineering, not to advance a larger vision of a better future [2][3]. The ESG integration into deal evaluation is a positive differentiator but hasn't been tested through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16-person team is led by CEO David Garofalo, who brings 30+ years of gold industry leadership including CEO of Goldcorp. John Griffith was promoted to President in addition to CDO, suggesting internal advancement and trust [2]. Leadership stability and experience are strong for the company's size, but the arms-length management services agreement and absence of workforce disclosures limit visibility into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GROY explicitly benchmarks against sector giants Franco-Nevada, Wheaton Precious Metals, and Royal Gold, positioning its strategy of targeting earlier-stage royalties that larger peers cannot efficiently pursue at their scale [2][3]. Management consistently references the deal-quality standards and portfolio diversification of senior royalty companies as aspirational targets, reflecting healthy competitive self-awareness and a learner's orientation.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Gold Royalty has evolved its portfolio composition since founding — expanding from pure gold royalties into copper, silver, and other metals, adding immediately cash-flowing royalties at Pedra Branca and Borborema, and executing the transformative $103.5M equity raise to accelerate growth [1][2]. These show incremental adaptation to market conditions and portfolio maturation, but the core business model remains unchanged since inception.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GROY has shown measured courage by entering royalty deals on development-stage mines at higher royalty rates in exchange for higher execution risk — a contrarian approach relative to the conservative deal criteria of senior royalty peers [2]. The willingness to sustain GAAP losses for five years while building a structural royalty income base reflects conviction in the aggregation thesis over quarterly optics. The company reached its first profitable quarter in Q2 2026, vindicating this patient capital allocation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Gold Royalty at a $769M market cap offers leveraged exposure to gold prices through a rapidly maturing royalty portfolio that has reached operating inflection — H1 2026 total revenue of $17.3M (+116% YoY) with adjusted EBITDA of $12.6M (+212%) and the company's first profitable quarter in Q2 2026 with $1.8M net income [1]. The royalty model provides operating leverage with 26% profit margins and minimal operating costs, while a pristine balance sheet (zero debt, $150M undrawn credit facility) allows continued portfolio growth without dilution. The PEG ratio of 0.7 suggests the market has not fully priced in the 60%+ production growth guidance for 2026 (7,500-9,300 GEOs), and revenue is forecast to grow 31% annually over the next three years as underlying mine assets ramp toward the 2030 outlook of 28,000-34,000 GEOs from existing assets [1][4]. The Inspire Impact Score of 36 (ALIGNED) with positive ESG attributions including sector-leading carbon intensity of 0.25 tCO2e/GEO makes GROY accessible to faith-based investors [3].</w:t>
      </w:r>
    </w:p>
    <w:p>
      <w:pPr>
        <w:spacing w:after="120"/>
      </w:pPr>
      <w:r>
        <w:rPr>
          <w:rFonts w:ascii="Calibri" w:hAnsi="Calibri"/>
          <w:b w:val="0"/>
          <w:color w:val="3A4A28"/>
          <w:sz w:val="20"/>
        </w:rPr>
        <w:t>The bear case centers on GROY's junior status, nascent profitability, and gold price dependency. Despite the strong H1 2026, the company has only one quarter of positive net income in its entire operating history, and trailing ROE remains negative at -1.14% [4]. The $769M market cap implies a significant premium to NAV relative to larger royalty peers like Franco-Nevada and Royal Gold, which trade at lower revenue multiples with proven decades-long track records. Gold price volatility is an existential risk — a sustained decline below $1,800/oz would compress margins across the entire portfolio, and the royalty model amplifies commodity price movements with no hedging program [1]. The company's reliance on third-party operators means GROY has no control over production decisions, permitting delays, or operational failures at underlying mines. The small 16-person team creates key-person risk around David Garofalo, and revenue growth will decelerate significantly from the 116% H1 pace as the base normalizes.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ramp of underlying mine production driving toward 2026 GEO guidance of 7,500-9,300 (60%+ growth vs 2025), with Cote Gold, Borborema, and Pedra Branca as primary contributors [1]</w:t>
      </w:r>
    </w:p>
    <w:p>
      <w:pPr>
        <w:spacing w:before="40" w:after="40"/>
        <w:ind w:left="283"/>
      </w:pPr>
      <w:r>
        <w:rPr>
          <w:rFonts w:ascii="Calibri" w:hAnsi="Calibri"/>
          <w:b/>
          <w:color w:val="4A6B25"/>
          <w:sz w:val="20"/>
        </w:rPr>
        <w:t xml:space="preserve">2. </w:t>
      </w:r>
      <w:r>
        <w:rPr>
          <w:rFonts w:ascii="Calibri" w:hAnsi="Calibri"/>
          <w:b w:val="0"/>
          <w:color w:val="3A4A28"/>
          <w:sz w:val="20"/>
        </w:rPr>
        <w:t>Transition to sustained profitability after Q2 2026's first profitable quarter, with the high-margin royalty model suggesting margins will expand further as revenue scales on a fixed cost base [1]</w:t>
      </w:r>
    </w:p>
    <w:p>
      <w:pPr>
        <w:spacing w:before="40" w:after="40"/>
        <w:ind w:left="283"/>
      </w:pPr>
      <w:r>
        <w:rPr>
          <w:rFonts w:ascii="Calibri" w:hAnsi="Calibri"/>
          <w:b/>
          <w:color w:val="4A6B25"/>
          <w:sz w:val="20"/>
        </w:rPr>
        <w:t xml:space="preserve">3. </w:t>
      </w:r>
      <w:r>
        <w:rPr>
          <w:rFonts w:ascii="Calibri" w:hAnsi="Calibri"/>
          <w:b w:val="0"/>
          <w:color w:val="3A4A28"/>
          <w:sz w:val="20"/>
        </w:rPr>
        <w:t>Potential new royalty acquisitions using the $150M undrawn credit facility, which could step-function revenue growth if management deploys capital at attractive terms as mid-tier miners seek non-dilutive financing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dependency — a sustained decline below $1,800/oz would compress margins across the entire 240+ royalty portfolio, as GROY has no hedging program and the royalty model amplifies commodity price movements [1]</w:t>
      </w:r>
    </w:p>
    <w:p>
      <w:pPr>
        <w:spacing w:before="40" w:after="40"/>
        <w:ind w:left="283"/>
      </w:pPr>
      <w:r>
        <w:rPr>
          <w:rFonts w:ascii="Calibri" w:hAnsi="Calibri"/>
          <w:b/>
          <w:color w:val="4A6B25"/>
          <w:sz w:val="20"/>
        </w:rPr>
        <w:t xml:space="preserve">2. </w:t>
      </w:r>
      <w:r>
        <w:rPr>
          <w:rFonts w:ascii="Calibri" w:hAnsi="Calibri"/>
          <w:b w:val="0"/>
          <w:color w:val="3A4A28"/>
          <w:sz w:val="20"/>
        </w:rPr>
        <w:t>Operator risk — production at underlying mines is entirely controlled by third parties, and permitting delays, environmental issues, or operational failures at key assets (Cote Gold, Borborema, Cozamin) could materially reduce royalty income with no recourse [1]</w:t>
      </w:r>
    </w:p>
    <w:p>
      <w:pPr>
        <w:spacing w:before="40" w:after="40"/>
        <w:ind w:left="283"/>
      </w:pPr>
      <w:r>
        <w:rPr>
          <w:rFonts w:ascii="Calibri" w:hAnsi="Calibri"/>
          <w:b/>
          <w:color w:val="4A6B25"/>
          <w:sz w:val="20"/>
        </w:rPr>
        <w:t xml:space="preserve">3. </w:t>
      </w:r>
      <w:r>
        <w:rPr>
          <w:rFonts w:ascii="Calibri" w:hAnsi="Calibri"/>
          <w:b w:val="0"/>
          <w:color w:val="3A4A28"/>
          <w:sz w:val="20"/>
        </w:rPr>
        <w:t>Valuation premium relative to proven senior royalty peers — GROY trades at a significant revenue multiple premium to Franco-Nevada and Royal Gold despite lacking their multi-decade track records and diversified cash flow bases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Royalty's business model is IMMUNE to AI disruption. The company earns contractual royalties from physical gold, silver, copper, and PGM mining operations — AI cannot replace the extraction of minerals from the earth or displace the legal/financial construct of a royalty interest [1][3]. The royalty model adds a second layer of insulation: GROY doesn't operate mines, it collects contractual payments from operators, making it doubly insulated from any AI-related operational disruption. Furthermore, AI-driven productivity improvements at partner mines would be net positive for GROY by improving project economics and mine life without any cost exposure to GROY [1]. AI Opportunity (0/1): No AI-related revenue. Machine learning tools for royalty deal screening and geological data analysis are theoretically useful but generate no quantified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Gold Royalty Corp Record H1 2026 Results — Revenue $17.3M (+116%), Q2 Net Income $1.8M, Adjusted EBITDA $12.6M (+212%), GEO Guidance 7,500-9,300, PR 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Gold Royalty Corp Management &amp; Directors — David Garofalo Chairman &amp; CEO (30+ years mining), John Griffith CDO/President, goldroyalty.com,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Gold Royalty Corp ESG and Sustainability Policy — Portfolio carbon intensity 0.25 tCO2e/GEO, sustainable mining partnerships, CarbonCredits.com and goldroyalty.com</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 GROY Key Statistics: D/E 9%, ROE -1.14%, PEG 0.7, Stock Price $3.32, Market Cap $769M, Avg Volume 2.45M shares,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