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GSBD</w:t>
      </w:r>
      <w:r>
        <w:rPr>
          <w:rFonts w:ascii="Calibri" w:hAnsi="Calibri"/>
          <w:b/>
          <w:color w:val="1A2010"/>
          <w:sz w:val="40"/>
        </w:rPr>
        <w:t xml:space="preserve">  Goldman Sachs BDC,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2026-09-17 · Inspire: 12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51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Financial Services · Asset Management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Goldman Sachs BDC, Inc. is an externally managed, non-diversified closed-end business development company formed in 2012 that provides senior secured debt financing to U.S. middle-market companies, managed by an affiliate of Goldman Sachs Asset Management.</w:t>
      </w:r>
    </w:p>
    <w:p>
      <w:r>
        <w:rPr>
          <w:rFonts w:ascii="Calibri" w:hAnsi="Calibri"/>
          <w:b/>
          <w:color w:val="6E8450"/>
          <w:sz w:val="18"/>
        </w:rPr>
        <w:t>https://www.goldmansachsbdc.com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GSBD leverages the Goldman Sachs private credit origination platform and data-driven underwriting to source 171 portfolio companies across 40 industries with $3.9B in investments, giving it scale advantages in deal flow[1]. However, the sector is not R&amp;D-intensive and GSBD's differentiation is largely balance-sheet and brand rather than proprietary technology, capping the innovation ceiling relative to true product innovators.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As a capital-provider to middle-market borrowers, GSBD's stated mission is financial (attractive risk-adjusted returns via first-lien lending) rather than socially oriented, and management commentary in 2025-2026 has centered on convincing investors the platform is 'stronger and more disciplined' post-2022 integration rather than a broader purpose narrative[2]. No meaningful evidence of community impact programs or notable insider buying was found to lift the mission floor.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NAV per share has declined from $12.75 (Q3 2025) to $12.17 (Q1 2026), a roughly 4.5% drawdown over two quarters, while non-accruals sit at 3.2% of fair value across 11 portfolio companies and Fitch shifted its outlook to negative on higher leverage and realized losses[1][3]. The $0.32 quarterly base dividend now exceeds quarterly net investment income of $0.22 (a 7.2% annualized NII yield vs. a ~13% dividend yield), signaling payout coverage strain even as forward P/E (8.5x) and profit margin (17.2%) remain reasonable.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GSBD has shown adaptive discipline by rotating toward larger, safer first-lien loans and working down non-accruals, but its externally-managed, fee-driven structure and recent leadership transition point to a fund optimized for near-term NAV stabilization and investor confidence rather than a long-horizon existential mission[1][3].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The stated purpose is generating risk-adjusted returns for shareholders via middle-market lending, a commercial mandate with no broader cause articulated beyond capital allocation[2].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Externally managed by a Goldman Sachs Asset Management affiliate with an 8-member board; standard BDC governance structure with no reported culture controversies, but limited transparency into internal team dynamics[4].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Competes directly with Ares Capital, Blackstone Secured Lending, Blue Owl and other scaled BDCs in a crowded, increasingly commoditized private credit market, which keeps GSBD honest on pricing and underwriting discipline.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Management has proactively shifted the portfolio mix toward first-lien senior secured debt (97%+) and reduced exposure to weaker credits amid the negative Fitch outlook, showing willingness to adapt strategy under stress[1][3].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Leadership transition discussed on the Q2 2025 earnings call reflects a deliberate reset, though management's framing was defensive (reassuring investors) rather than bold long-term vision-setting[2].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GSBD offers a high (~13%) dividend yield backed by the Goldman Sachs private credit origination platform and a predominantly first-lien senior secured loan book ($3.9B across 171 companies), but the thesis is under pressure[1]. NAV has fallen for two consecutive quarters, non-accruals remain elevated at 3.2% of fair value, and Fitch's negative outlook reflects genuine credit deterioration rather than temporary noise[1][3].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Most critically, the current base dividend of $0.32/quarter is not covered by net investment income ($0.22/quarter as of Q1 2026), implying either a dividend cut or continued NAV erosion is likely absent a portfolio-quality inflection[1]. Until non-accruals trend meaningfully lower and NII coverage improves, GSBD is a WATCH: the Goldman brand and first-lien focus provide downside support, but the yield is not yet fully de-risked.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Continued resolution/exit of non-accrual positions reducing the 3.2% non-accrual rate[1]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NII recovery toward covering the $0.32 base dividend without further supplemental cuts[1]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Rate environment stabilization benefiting floating-rate first-lien loan yields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Dividend not covered by NII (7.2% annualized NII yield vs. ~13% dividend yield), raising cut risk[1]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Fitch negative outlook citing higher leverage, elevated non-accruals and realized losses[3]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NAV per share down from $12.75 to $12.17 over two quarters, eroding book value[1]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4. </w:t>
      </w:r>
      <w:r>
        <w:rPr>
          <w:rFonts w:ascii="Calibri" w:hAnsi="Calibri"/>
          <w:b w:val="0"/>
          <w:color w:val="3A4A28"/>
          <w:sz w:val="20"/>
        </w:rPr>
        <w:t>Intensifying competition from larger private credit platforms compressing spreads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is primarily an enabler for GSBD: the Goldman Sachs platform can apply data analytics and machine-learning-assisted underwriting to improve credit selection and portfolio monitoring across its 171-company book[1]. Direct disruption risk to the private-credit lending model is low, but rising competition from other AI-augmented private credit platforms (Ares, Blackstone, Blue Owl) is compressing spreads industry-wide, a moderate structural headwind rather than an existential one.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12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Goldman Sachs BDC 8-K Q1 2026 results and Grafa earnings summary, NAV/non-accrual data,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Seeking Alpha, 'Goldman Sachs BDC: This 13% Yield May Be A Value Trap',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KBRA / Fitch ratings commentary on Goldman Sachs BDC negative outlook,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Goldman Sachs BDC Corporate Governance Guidelines and Investor Relations, goldmansachsbdc.com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Yahoo Finance — GSBD key statistics,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