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GSK</w:t>
      </w:r>
      <w:r>
        <w:rPr>
          <w:rFonts w:ascii="Calibri" w:hAnsi="Calibri"/>
          <w:b/>
          <w:color w:val="1A2010"/>
          <w:sz w:val="40"/>
        </w:rPr>
        <w:t xml:space="preserve">  GSK plc</w:t>
      </w:r>
    </w:p>
    <w:p>
      <w:pPr>
        <w:spacing w:after="120"/>
      </w:pPr>
      <w:r>
        <w:rPr>
          <w:rFonts w:ascii="Calibri" w:hAnsi="Calibri"/>
          <w:b/>
          <w:color w:val="6E8450"/>
          <w:sz w:val="18"/>
        </w:rPr>
        <w:t>DIVIDEND SLEEVE · 2026-10-19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General · NYQ · United Kingdom</w:t>
      </w:r>
    </w:p>
    <w:p>
      <w:pPr>
        <w:spacing w:after="80"/>
      </w:pPr>
      <w:r>
        <w:rPr>
          <w:rFonts w:ascii="Calibri" w:hAnsi="Calibri"/>
          <w:b w:val="0"/>
          <w:color w:val="3A4A28"/>
          <w:sz w:val="20"/>
        </w:rPr>
        <w:t>GSK plc is a global biopharma company focused on vaccines, specialty medicines, and general medicines, with TTM revenue of approximately £33.2B and a 14.5% profit margin. The company operates through Commercial Operations and R&amp;D segments, with key franchises in HIV (dolutegravir), respiratory (Nucala, Trelegy), oncology (Zejula, Jemperli), and vaccines (Shingrix, Arexvy). Founded in 1715 and headquartered in London, GSK completed a major transformation under former CEO Emma Walmsley, spinning off consumer health unit Haleon in 2022, with Luke Miels succeeding as CEO in January 2026.</w:t>
      </w:r>
    </w:p>
    <w:p>
      <w:r>
        <w:rPr>
          <w:rFonts w:ascii="Calibri" w:hAnsi="Calibri"/>
          <w:b/>
          <w:color w:val="6E8450"/>
          <w:sz w:val="18"/>
        </w:rPr>
        <w:t>66,841 Employees · https://www.gsk.com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GSK executed a transformative strategic pivot by spinning off Haleon (consumer health) in 2022 to focus as a pure-play biopharma company, while launching Arexvy as the first-ever RSV vaccine for older adults and expanding Shingrix to a £4B+ franchise [1]. The Nuvalent acquisition (~$14B, 2026) adds a next-generation oncology pipeline in lung cancer. AI Deployment (1/2): GSK has invested significantly in AI/ML for drug discovery, with CEO Walmsley describing AI as producing 'bigger innovation, faster'; the company uses AI across target identification, clinical trial optimization, and manufacturing, though specific revenue or cost savings from AI have not been quantified [2]. Market Share (1/2): GSK holds leadership positions in shingles vaccines (Shingrix), HIV treatment (dolutegravir franchise), and RSV prevention (Arexvy), but faces growing competition from Pfizer's Abrysvo in RSV and generic erosion in older medicines [1][3]. Product Pipeline (1/2): Late-stage pipeline includes bepirovirsen (hepatitis B functional cure), depemokimab (severe asthma), and the Nuvalent-acquired zidesamtinib and NVL-655 for lung cancer, with specific trial readouts expected through 2027 [1][3]. R&amp;D Intensity (1/1): R&amp;D expenses grew at double-digit rates in Q2 2026, driven by accelerated pipeline investment; the Accelerate Growth program reallocates £1.9B in savings to late-stage R&amp;D [1][3].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GSK's purpose — 'to unite science, technology and talent to get ahead of disease together' — is clear and healthcare-specific but not deeply distinctive from peers like Pfizer or AstraZeneca; it identifies what the company does and for whom but doesn't articulate a transformative vision of a better future [2]. Community Impact (1/2): GSK maintains global health programs including partnerships for affordable access to medicines in developing countries, with ongoing commitments to HIV/AIDS treatment in low-income countries, though specific dollar amounts for charitable programs were not identified in recent disclosures [4]. Employee Retention (1/2): GSK was recognized in Glassdoor's Best Places to Work 2025 in both UK (top 50) and US (top 100) large companies; Walmsley implemented distinctive 180-degree anonymous surveys where employees review their bosses, including the CEO, demonstrating cultural investment [2][4]. Insider Buying (0/2): No evidence of meaningful net insider buying by senior executives in recent months; the CEO transition from Walmsley to Miels in January 2026 complicates assessment of leadership conviction signals.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GSK's financial profile shows solid profitability with ROE of 33.4% (score 1.0) and respectable profit margin of 14.5% (score 0.73), though below the 20% target [1]. D/E of 106.5% is manageable for pharma but above the 70% target (score 0.84), reflecting acquisition-driven leverage including the Nuvalent deal. Forward P/E of 10.1 is well below the 20 target (score 1.0), offering deep value. Revenue growth of 5.3% YoY and ~3.5% 5yr CAGR (scores 0.84 and 0.57) reflect steady but unspectacular top-line growth within pharma norms [1][3]. Dividend profile is mixed: 30+ consecutive years paid (score 1.0, 2x weight) anchors the score, but payout ratio of 56.6% exceeds the 40% target (score 0.72), consecutive years of growth is only ~3 post-Haleon reset (score 0.30), and 5yr dividend CAGR of ~2% (score 0.33, 2x weight) reflects the Haleon spinoff disruption. Liquidity of $205M daily dollar volume is ample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GSK demonstrates genuine purpose in healthcare with a multi-century institutional history, validated by the courageous Haleon spinoff that sacrificed diversified revenue for focused biopharma execution. The CEO transition from Walmsley to Miels introduces uncertainty about whether the transformation's momentum will sustain, but the Accelerate Growth program and aggressive pipeline investment signal commitment to long-term capability building over short-term earnings optimization.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GSK's purpose — 'getting ahead of disease together' — genuinely connects the company's work to human health outcomes and has shaped strategic decisions, including the Haleon spinoff to sharpen focus on biopharma innovation and the Accelerate Growth program to redirect £1.9B toward R&amp;D [1][2]. Emma Walmsley explicitly oriented the company around this purpose during her tenure. However, the cause hasn't been tested through the kind of multi-decade consistency that would earn the highest score — the Haleon separation was only in 2022, and the CEO transition to Miels introduces uncertainty about whether purpose will remain the strategic north star.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GSK's 180-degree anonymous surveys, where employees evaluate their managers including the CEO, represent a distinctive trust-building mechanism rarely seen in pharma [2]. Glassdoor Best Places to Work recognition in both the UK and US (2025) indicates above-average employee satisfaction. However, the CEO transition and ongoing Accelerate Growth restructuring (targeting £1.9B in savings) create organizational uncertainty, and no specific voluntary turnover data distinguishes GSK from pharma norms [2][4].</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GSK's competitive posture under Walmsley was explicitly about catching up to Pfizer and AstraZeneca in pipeline innovation rather than market share destruction — the Nuvalent acquisition and accelerated R&amp;D investment were framed as building capabilities rather than defeating competitors [1][3]. The company openly acknowledges rivals' strengths in oncology and vaccines, using competitive pressure as motivation for pipeline investment rather than defensive positioning.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Haleon spinoff in 2022 was a significant strategic shift — GSK abandoned a profitable £10B+ consumer health business to focus entirely on biopharma innovation, accepting near-term revenue loss and a dividend reset for long-term R&amp;D focus [1]. This was driven by purpose (getting ahead of disease) rather than desperation. However, it was one major pivot, not a pattern of transformative reinvention, and the company hasn't yet demonstrated it can sustain the focused strategy through a full market cycle.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Walmsley's decision to spin off Haleon and reset the dividend required genuine courage — shareholders faced immediate income reduction in exchange for a focused biopharma investment thesis [1]. The Accelerate Growth program invests £1.9B in R&amp;D savings reallocation during a period of dolutegravir patent concerns. The Nuvalent acquisition at ~$14B represents a bold bet on oncology [3]. However, these decisions were made under Walmsley; Miels' willingness to make similarly costly long-term bets remains unproven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GSK at $49.51 offers compelling value at 10.1x forward earnings for a major biopharma company executing a focused growth strategy. Q2 2026 delivered £8.4B revenue (+5% CER) with core operating profit up 7% and core EPS up 9% to 50.5p, tracking toward the upper half of full-year guidance for 3-5% turnover growth and 7-9% core profit growth [1][3]. The Nuvalent acquisition adds transformative oncology assets (zidesamtinib, NVL-655) targeting lung cancer, while Shingrix, Arexvy, and the HIV franchise provide durable revenue anchors. The Accelerate Growth program targets £1.9B in annual savings by 2029, funding accelerated R&amp;D investment with double-digit expense growth. Free cash flow of approximately £3.5B supports the 3.67% dividend yield, and the deep value forward P/E of 10.1x provides a significant margin of safety [1].</w:t>
      </w:r>
    </w:p>
    <w:p>
      <w:pPr>
        <w:spacing w:after="120"/>
      </w:pPr>
      <w:r>
        <w:rPr>
          <w:rFonts w:ascii="Calibri" w:hAnsi="Calibri"/>
          <w:b w:val="0"/>
          <w:color w:val="3A4A28"/>
          <w:sz w:val="20"/>
        </w:rPr>
        <w:t>The bear case centers on pipeline execution risk and the looming dolutegravir loss of exclusivity (2028-2030), which threatens GSK's largest revenue contributor — management's margin guidance through LOE is 'stable to improving,' but replacement revenue must materialize from the Nuvalent pipeline and late-stage assets like bepirovirsen and depemokimab [3]. The CEO transition from Walmsley (who drove the transformation) to Luke Miels introduces leadership uncertainty during a critical execution period. GAAP earnings fell sharply in Q2 due to a £1.3B impairment (primarily camlipixant), highlighting pipeline attrition risk, while the PEG ratio of 6.0x suggests the market prices in very low growth expectations [1]. Revenue growth of only 5.3% YoY and ~3.5% 5yr CAGR is pedestrian for pharma, and post-Haleon dividend growth of ~2% lags inflation, questioning income appeal despite the headline 3.67% yield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Nuvalent pipeline readouts in lung cancer (zidesamtinib, NVL-655) could unlock transformative oncology revenue and re-rate the stock's growth profile, with multiple Phase 3 data catalysts expected through 2027 [1][3]</w:t>
      </w:r>
    </w:p>
    <w:p>
      <w:pPr>
        <w:spacing w:before="40" w:after="40"/>
        <w:ind w:left="283"/>
      </w:pPr>
      <w:r>
        <w:rPr>
          <w:rFonts w:ascii="Calibri" w:hAnsi="Calibri"/>
          <w:b/>
          <w:color w:val="4A6B25"/>
          <w:sz w:val="20"/>
        </w:rPr>
        <w:t xml:space="preserve">2. </w:t>
      </w:r>
      <w:r>
        <w:rPr>
          <w:rFonts w:ascii="Calibri" w:hAnsi="Calibri"/>
          <w:b w:val="0"/>
          <w:color w:val="3A4A28"/>
          <w:sz w:val="20"/>
        </w:rPr>
        <w:t>Accelerate Growth program delivering £1.9B in annual savings by 2029, enabling sustained double-digit R&amp;D growth while protecting margins through the dolutegravir LOE transition period [1][3]</w:t>
      </w:r>
    </w:p>
    <w:p>
      <w:pPr>
        <w:spacing w:before="40" w:after="40"/>
        <w:ind w:left="283"/>
      </w:pPr>
      <w:r>
        <w:rPr>
          <w:rFonts w:ascii="Calibri" w:hAnsi="Calibri"/>
          <w:b/>
          <w:color w:val="4A6B25"/>
          <w:sz w:val="20"/>
        </w:rPr>
        <w:t xml:space="preserve">3. </w:t>
      </w:r>
      <w:r>
        <w:rPr>
          <w:rFonts w:ascii="Calibri" w:hAnsi="Calibri"/>
          <w:b w:val="0"/>
          <w:color w:val="3A4A28"/>
          <w:sz w:val="20"/>
        </w:rPr>
        <w:t>Full-year 2026 guidance tracking to upper half of ranges (turnover +3-5%, core operating profit +7-9%) with specialty medicines growing low double digits, providing execution validation for the focused biopharma strategy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Dolutegravir loss of exclusivity in 2028-2030 threatens GSK's largest revenue franchise, requiring successful commercialization of Nuvalent oncology assets and late-stage pipeline to replace declining HIV revenues [3]</w:t>
      </w:r>
    </w:p>
    <w:p>
      <w:pPr>
        <w:spacing w:before="40" w:after="40"/>
        <w:ind w:left="283"/>
      </w:pPr>
      <w:r>
        <w:rPr>
          <w:rFonts w:ascii="Calibri" w:hAnsi="Calibri"/>
          <w:b/>
          <w:color w:val="4A6B25"/>
          <w:sz w:val="20"/>
        </w:rPr>
        <w:t xml:space="preserve">2. </w:t>
      </w:r>
      <w:r>
        <w:rPr>
          <w:rFonts w:ascii="Calibri" w:hAnsi="Calibri"/>
          <w:b w:val="0"/>
          <w:color w:val="3A4A28"/>
          <w:sz w:val="20"/>
        </w:rPr>
        <w:t>Pipeline attrition risk highlighted by £1.3B camlipixant impairment in Q2 2026 — biopharma R&amp;D has inherently high failure rates, and the company's aggressive investment thesis depends on above-average clinical success rates [1]</w:t>
      </w:r>
    </w:p>
    <w:p>
      <w:pPr>
        <w:spacing w:before="40" w:after="40"/>
        <w:ind w:left="283"/>
      </w:pPr>
      <w:r>
        <w:rPr>
          <w:rFonts w:ascii="Calibri" w:hAnsi="Calibri"/>
          <w:b/>
          <w:color w:val="4A6B25"/>
          <w:sz w:val="20"/>
        </w:rPr>
        <w:t xml:space="preserve">3. </w:t>
      </w:r>
      <w:r>
        <w:rPr>
          <w:rFonts w:ascii="Calibri" w:hAnsi="Calibri"/>
          <w:b w:val="0"/>
          <w:color w:val="3A4A28"/>
          <w:sz w:val="20"/>
        </w:rPr>
        <w:t>CEO transition from Emma Walmsley to Luke Miels during a critical execution period — Miels lacks the transformational track record of his predecessor, and cultural continuity of the 180-survey model and AI investment push is uncertain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Pharmaceutical development, manufacturing, and distribution are deeply regulated physical-world processes that AI cannot substitute — clinical trials require years of human subjects research, drug manufacturing demands GMP-certified facilities, and regulatory approval processes (FDA, EMA) are structurally immune to AI displacement [1]. GSK's core revenue from vaccines (physical biologics requiring cold-chain distribution) and specialty medicines (patent-protected compounds) has no AI substitution pathway. However, AI tools could accelerate competitor drug discovery timelines, potentially compressing GSK's competitive advantages in pipeline development, and AI-driven drug repurposing could increase competitive intensity [2][3]. AI Opportunity (0/1): While GSK invests significantly in AI/ML for drug discovery and clinical trial optimization, these investments enhance internal efficiency rather than generating direct AI revenue; no AI-powered products or services are sold externally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GSK Q2 2026 Results and Strategy Update — Revenue £8.4B (+5% CER), Core EPS 50.5p (+9%), £1.3B Camlipixant Impairment — SEC 6-K, Quartr Summary, July 2026</w:t>
      </w:r>
    </w:p>
    <w:p>
      <w:pPr>
        <w:spacing w:before="20" w:after="20"/>
        <w:ind w:left="170"/>
      </w:pPr>
      <w:r>
        <w:rPr>
          <w:rFonts w:ascii="Calibri" w:hAnsi="Calibri"/>
          <w:b/>
          <w:color w:val="4A6B25"/>
          <w:sz w:val="15"/>
        </w:rPr>
        <w:t xml:space="preserve">2. </w:t>
      </w:r>
      <w:r>
        <w:rPr>
          <w:rFonts w:ascii="Calibri" w:hAnsi="Calibri"/>
          <w:b w:val="0"/>
          <w:color w:val="3A4A28"/>
          <w:sz w:val="17"/>
        </w:rPr>
        <w:t>GSK Leadership Transition — Emma Walmsley to Luke Miels (Jan 2026), AI/ML Drug Discovery Investment, 180-Degree Survey Culture, Glassdoor Best Places to Work 2025 — Fortune, Semafor, GSK Chair's Statement, 2025-2026</w:t>
      </w:r>
    </w:p>
    <w:p>
      <w:pPr>
        <w:spacing w:before="20" w:after="20"/>
        <w:ind w:left="170"/>
      </w:pPr>
      <w:r>
        <w:rPr>
          <w:rFonts w:ascii="Calibri" w:hAnsi="Calibri"/>
          <w:b/>
          <w:color w:val="4A6B25"/>
          <w:sz w:val="15"/>
        </w:rPr>
        <w:t xml:space="preserve">3. </w:t>
      </w:r>
      <w:r>
        <w:rPr>
          <w:rFonts w:ascii="Calibri" w:hAnsi="Calibri"/>
          <w:b w:val="0"/>
          <w:color w:val="3A4A28"/>
          <w:sz w:val="17"/>
        </w:rPr>
        <w:t>GSK 2026 Full-Year Guidance — Turnover +3-5% CER (Upper Half), Core Operating Profit +7-9%, Accelerate Growth £1.9B Savings, Nuvalent Acquisition — SEC 6-K, Zacks, 2026</w:t>
      </w:r>
    </w:p>
    <w:p>
      <w:pPr>
        <w:spacing w:before="20" w:after="20"/>
        <w:ind w:left="170"/>
      </w:pPr>
      <w:r>
        <w:rPr>
          <w:rFonts w:ascii="Calibri" w:hAnsi="Calibri"/>
          <w:b/>
          <w:color w:val="4A6B25"/>
          <w:sz w:val="15"/>
        </w:rPr>
        <w:t xml:space="preserve">4. </w:t>
      </w:r>
      <w:r>
        <w:rPr>
          <w:rFonts w:ascii="Calibri" w:hAnsi="Calibri"/>
          <w:b w:val="0"/>
          <w:color w:val="3A4A28"/>
          <w:sz w:val="17"/>
        </w:rPr>
        <w:t>GSK ESG and Governance — Glassdoor UK/US Recognition, CDP Water Security Score A, Sustainalytics Strong Rating, Sector ESG Risk Profile — HL Research, GSK Corporate Reports,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