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GSM</w:t>
      </w:r>
      <w:r>
        <w:rPr>
          <w:rFonts w:ascii="Calibri" w:hAnsi="Calibri"/>
          <w:b/>
          <w:color w:val="1A2010"/>
          <w:sz w:val="40"/>
        </w:rPr>
        <w:t xml:space="preserve">  Ferroglobe PLC</w:t>
      </w:r>
    </w:p>
    <w:p>
      <w:pPr>
        <w:spacing w:after="120"/>
      </w:pPr>
      <w:r>
        <w:rPr>
          <w:rFonts w:ascii="Calibri" w:hAnsi="Calibri"/>
          <w:b/>
          <w:color w:val="6E8450"/>
          <w:sz w:val="18"/>
        </w:rPr>
        <w:t>GROWTH SLEEVE · 2026-09-25 · Inspire: 47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NASDAQ · United Kingdom</w:t>
      </w:r>
    </w:p>
    <w:p>
      <w:pPr>
        <w:spacing w:after="80"/>
      </w:pPr>
      <w:r>
        <w:rPr>
          <w:rFonts w:ascii="Calibri" w:hAnsi="Calibri"/>
          <w:b w:val="0"/>
          <w:color w:val="3A4A28"/>
          <w:sz w:val="20"/>
        </w:rPr>
        <w:t>Ferroglobe PLC produces and sells silicon metal, silicon-based ferroalloys, and manganese-based ferroalloys globally. The company supplies silicon metal to aluminum, silicone chemical, solar, and semiconductor industries, and operates quartz mines, coal mines, and a hydroelectric power plant across the U.S., Europe, South Africa, and Canada. CEO Marco Levi has led since 2020. Q2 2026 revenue of $378.6M topped expectations, and management guides FY2026 revenue of $1.5-1.7B, implying ~20% growth.</w:t>
      </w:r>
    </w:p>
    <w:p>
      <w:r>
        <w:rPr>
          <w:rFonts w:ascii="Calibri" w:hAnsi="Calibri"/>
          <w:b/>
          <w:color w:val="6E8450"/>
          <w:sz w:val="18"/>
        </w:rPr>
        <w:t>2,920 Employees · https://www.ferroglobe.com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Ferroglobe has pursued incremental product development in high-purity silicon (up to 99.995% purity) for solar and EV battery applications, and strategically converted three furnaces from silicon metal to ferrosilicon to align with shifting demand [1][2]. No transformative product launches or business model pivots — the company remains a commodity silicon and ferroalloy producer. AI Deployment (1/2): The NANOMATIA project, led by CTIO Dr. Benoist Ollivier, explores AI and industrial biotechnology for new nanomaterials, representing R&amp;D-stage exploration rather than deployed AI products generating measurable revenue or cost savings [3]. Market Share (1/2): Ferroglobe is one of the world's leading silicon metal and specialty alloy producers with global operations, with Q2 2026 silicon metal revenue surging 25.8% QoQ to $105.8M, but faces intense competition from Chinese producers who drive commodity pricing pressure [1][2]. Product Pipeline (1/2): Silicon-rich anodic material for lithium-ion batteries is in development, targeting the growing EV market. Management guides 20% revenue growth for FY2026 supported by EU safeguard duties and the 10-year French energy contract, but specific next-gen product timelines remain vague [1]. R&amp;D Intensity (1/1): Dedicated CTIO role (Dr. Ollivier as CTO and Deputy CEO) and university partnerships for nanomaterials research indicate above-average R&amp;D commitment for the metals/mining sector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Ferroglobe describes itself in functional terms — producing silicon metal and ferroalloys for industrial customers. The 2022-2026 ESG Strategy positions the company as 'enabling materials vital to sustainable development' but reads as strategic positioning rather than a deeply held organizational purpose [4]. Community Impact (1/2): ESG strategy includes engagement with local communities at plant locations across Spain, France, South Africa, and the U.S., with commitments to GHG emissions reduction and environmental footprint improvement, and publication of two Global ESG Reports (2023, 2024), though no specific charitable dollar amounts or distinctive programs were cited [4]. Employee Retention (1/2): CEO Marco Levi has served since 2020, providing 6 years of leadership continuity through a difficult cyclical downturn and turnaround. VP of People &amp; Culture David Girardeau was appointed to drive cultural unification across global operations, with 25+ years of experience in organizational transformation [3]. Insider Buying (1/2): Chairman Javier Lopez Madrid and Director Silvia Villar-Mir de Fuentes each purchased 26,000 shares at $3.86 in March 2026, totaling $200,360 in insider buying — a modest but positive conviction signal during the turnaround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Growth stock scoring reflects a cyclical industrial in recovery with improving profitability trajectory. D/E of 34.9% scores 1.00 (moderate balance sheet with $93M cash vs $251M debt) [5]. ROE of -5.99% scores 0.00 (still negative but improved significantly from -15.3% in the prior report, indicating turnaround progress). Revenue Growth YoY of -2.1% (per yfinance) scores 0.60, though Q1 2026 reported +13.2% YoY and Q2 revenue of $378.6M beat consensus — management guides 20% FY2026 growth to $1.5-1.7B [1][2]. Revenue 5yr CAGR of ~5% scores 0.67 (2x weight). Forward P/E of 9.59 scores 1.00 — now available at an attractive level, signaling the market expects a return to profitability with forward EPS of $0.415 [5]. Profit margin of -2.96% scores 0.00 (negative but improved from -8.5%). PEG unavailable (excluded). Weighted sum 3.94/8 = Infrastructure 5. Liquidity floor cleared: 1.64M avg volume x $3.98 = $6.5M.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Ferroglobe operates with a mixed mindset — the 2022-2026 ESG strategy, 10-year French energy contract, and battery materials development suggest planning for endurance, while CEO Levi's 6-year tenure provides leadership continuity through a painful cyclical downturn. However, the company's identity is fundamentally tied to commodity production cycles rather than a transformative vision, and reliance on trade protections reflects finite competitive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Ferroglobe lacks a clearly articulated Just Cause beyond producing silicon and ferroalloys for industrial customers. The company frames itself as 'enabling materials vital to sustainable development,' connecting silicon to solar panels, EV batteries, and semiconductors, but this positioning reads as strategic marketing rather than a deep organizational cause that shapes behavior and decisions [4]. CEO Levi's public warning about a 'silicon industry crisis' shows industry advocacy but not a purpose-driven organization.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Levi's 6-year tenure provides stability during a difficult cyclical downturn, and the appointment of VP People &amp; Culture David Girardeau (25+ years experience) to unify corporate culture across global operations shows awareness of organizational trust needs [3]. The company has 2,920 employees spread across mining and smelting operations in multiple countries with inherent cultural integration challenges. No exceptional trust evidence or significant red flags were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Ferroglobe's competitive language centers on trade protections (EU safeguard duties, U.S. anti-dumping rulings) against Chinese producers rather than self-improvement driven by competitive learning [1]. The strategic decision to convert furnaces from silicon metal to ferrosilicon was a defensive response to Chinese oversupply rather than an improvement inspired by rival capabilities. The company frames competition as a threat to be regulated away.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Ferroglobe demonstrated incremental flexibility by converting three furnaces from silicon metal to ferrosilicon to better align with shifting demand, and by developing high-purity silicon (99.995%) for battery and solar markets [1][3]. The 10-year French energy contract represents long-term strategic positioning. These are meaningful but incremental adaptations within the same commodity metals business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Chairman Lopez Madrid and Director Villar-Mir de Fuentes purchased shares at $3.86 during the downturn, demonstrating personal conviction [5]. Management's commitment to a 10-year energy contract in France and investment in battery-grade silicon development during a period of negative profitability shows willingness to invest through the cycle. CEO Levi navigated the company through the painful 2025 downturn while maintaining strategic investments, and the proactive furnace conversion strategy shows forward-looking decision-making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Ferroglobe is a deep-value cyclical turnaround play trading at $3.98 with forward P/E of 9.59x and improving profitability trajectory. Q2 2026 revenue of $378.6M topped consensus estimates with silicon metal revenue surging 25.8% sequentially, and management guides FY2026 revenue of $1.5-1.7B implying ~20% growth driven by trade protections and alloy demand recovery [1][2]. The turnaround thesis rests on three structural catalysts: the 10-year French energy contract reducing costs and enabling year-round production; EU safeguard duties and U.S. anti-dumping rulings protecting margins from Chinese import competition; and growing demand for high-purity silicon from semiconductor, solar, and EV battery industries benefiting from AI infrastructure buildout [3]. ROE improved from -15.3% to -5.99% and profit margin from -8.5% to -2.96%, indicating the turnaround is progressing. Chairman and director insider purchases at $3.86 signal management confidence [5].</w:t>
      </w:r>
    </w:p>
    <w:p>
      <w:pPr>
        <w:spacing w:after="120"/>
      </w:pPr>
      <w:r>
        <w:rPr>
          <w:rFonts w:ascii="Calibri" w:hAnsi="Calibri"/>
          <w:b w:val="0"/>
          <w:color w:val="3A4A28"/>
          <w:sz w:val="20"/>
        </w:rPr>
        <w:t>The bear case centers on persistent losses, commodity cyclicality, and trade protection dependence. Despite improvement, profit margin remains negative at -2.96% and ROE at -5.99% — the company is still losing money, and the turnaround depends partly on commodity price recovery outside management's control [5]. Revenue peaked at $2.3B in 2022 and the TTM figure of $1.37B reflects extreme cyclical volatility that the 5yr CAGR of ~5% obscures. Cash position deteriorated from $134M to $93M against $251M debt, and while operating cash flow of $48M is positive, the margin of safety is thin [5]. The stock's 25% recovery from $3.18 to $3.98 prices in some turnaround improvement but at $744M market cap, the upside depends on margin recovery that may take 2-3 more quarters to materialize. Environmental regulatory risk is elevated given smelting operations, and trade protections (EU safeguards, anti-dumping orders) can be reversed or circumvented by Chinese producers through third-country routing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revenue guidance of $1.5-1.7B implying 20% growth, with Q2 2026 beating expectations and silicon metal revenue surging 25.8% QoQ to $105.8M, indicating the volume recovery is accelerating [1][2]</w:t>
      </w:r>
    </w:p>
    <w:p>
      <w:pPr>
        <w:spacing w:before="40" w:after="40"/>
        <w:ind w:left="283"/>
      </w:pPr>
      <w:r>
        <w:rPr>
          <w:rFonts w:ascii="Calibri" w:hAnsi="Calibri"/>
          <w:b/>
          <w:color w:val="4A6B25"/>
          <w:sz w:val="20"/>
        </w:rPr>
        <w:t xml:space="preserve">2. </w:t>
      </w:r>
      <w:r>
        <w:rPr>
          <w:rFonts w:ascii="Calibri" w:hAnsi="Calibri"/>
          <w:b w:val="0"/>
          <w:color w:val="3A4A28"/>
          <w:sz w:val="20"/>
        </w:rPr>
        <w:t>10-year energy contract in France starting 2026 reduces costs and enables year-round production — management's top cited competitive advantage for margin recovery toward positive profitability [1]</w:t>
      </w:r>
    </w:p>
    <w:p>
      <w:pPr>
        <w:spacing w:before="40" w:after="40"/>
        <w:ind w:left="283"/>
      </w:pPr>
      <w:r>
        <w:rPr>
          <w:rFonts w:ascii="Calibri" w:hAnsi="Calibri"/>
          <w:b/>
          <w:color w:val="4A6B25"/>
          <w:sz w:val="20"/>
        </w:rPr>
        <w:t xml:space="preserve">3. </w:t>
      </w:r>
      <w:r>
        <w:rPr>
          <w:rFonts w:ascii="Calibri" w:hAnsi="Calibri"/>
          <w:b w:val="0"/>
          <w:color w:val="3A4A28"/>
          <w:sz w:val="20"/>
        </w:rPr>
        <w:t>Growing demand for high-purity silicon from EV battery, semiconductor, and solar industries, with Ferroglobe developing silicon-rich anodic material for lithium-ion batteries and benefiting from AI data center buildout as an indirect AI infrastructure supplier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losses with profit margin of -2.96% and ROE of -5.99% — despite improvement trajectory, the company remains unprofitable and the turnaround timeline depends on commodity price recovery outside management's control [5]</w:t>
      </w:r>
    </w:p>
    <w:p>
      <w:pPr>
        <w:spacing w:before="40" w:after="40"/>
        <w:ind w:left="283"/>
      </w:pPr>
      <w:r>
        <w:rPr>
          <w:rFonts w:ascii="Calibri" w:hAnsi="Calibri"/>
          <w:b/>
          <w:color w:val="4A6B25"/>
          <w:sz w:val="20"/>
        </w:rPr>
        <w:t xml:space="preserve">2. </w:t>
      </w:r>
      <w:r>
        <w:rPr>
          <w:rFonts w:ascii="Calibri" w:hAnsi="Calibri"/>
          <w:b w:val="0"/>
          <w:color w:val="3A4A28"/>
          <w:sz w:val="20"/>
        </w:rPr>
        <w:t>Cash position deteriorated to $93M from $134M against $251M debt, and while OCF is positive at $48M, a prolonged downturn could pressure the balance sheet and require dilutive capital raises [5]</w:t>
      </w:r>
    </w:p>
    <w:p>
      <w:pPr>
        <w:spacing w:before="40" w:after="40"/>
        <w:ind w:left="283"/>
      </w:pPr>
      <w:r>
        <w:rPr>
          <w:rFonts w:ascii="Calibri" w:hAnsi="Calibri"/>
          <w:b/>
          <w:color w:val="4A6B25"/>
          <w:sz w:val="20"/>
        </w:rPr>
        <w:t xml:space="preserve">3. </w:t>
      </w:r>
      <w:r>
        <w:rPr>
          <w:rFonts w:ascii="Calibri" w:hAnsi="Calibri"/>
          <w:b w:val="0"/>
          <w:color w:val="3A4A28"/>
          <w:sz w:val="20"/>
        </w:rPr>
        <w:t>Trade protection dependence — EU safeguard duties and U.S. anti-dumping orders can be reversed, circumvented by Chinese producers through third-country routing, or undermined by global overcapacity in silicon metal production, removing the primary margin support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Ferroglobe's core business — mining quartz, operating smelting furnaces, and producing silicon metal and ferroalloys — involves physical-world industrial processes that AI structurally cannot displace [3]. High-purity silicon metal is a critical input for semiconductors, solar panels, and lithium-ion batteries that power AI infrastructure, making Ferroglobe an indirect beneficiary of AI expansion. EU and U.S. trade protections (safeguard duties and anti-dumping rulings) create additional regulatory moats. The commodity pricing risk Ferroglobe faces is cyclical, not AI-driven — no analyst has flagged AI as a substitution risk for materials producers. AI Opportunity (1/1): Ferroglobe supplies silicon metal to the semiconductor supply chain enabling AI computing — AI data center buildouts increase demand for silicon-based components. The NANOMATIA AI-driven nanomaterials project represents emerging AI-enhanced R&amp;D capability, and CEO Levi has highlighted the silicon industry's role in enabling AI infrastructure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Ferroglobe Q1 2026 Financial Results — revenue $347.7M (+13.2% YoY), silicon alloys volume 61K tons (highest since Q2 2021), EU safeguards and French energy contract — GlobeNewsWire, May 2026</w:t>
      </w:r>
    </w:p>
    <w:p>
      <w:pPr>
        <w:spacing w:before="20" w:after="20"/>
        <w:ind w:left="170"/>
      </w:pPr>
      <w:r>
        <w:rPr>
          <w:rFonts w:ascii="Calibri" w:hAnsi="Calibri"/>
          <w:b/>
          <w:color w:val="4A6B25"/>
          <w:sz w:val="15"/>
        </w:rPr>
        <w:t xml:space="preserve">2. </w:t>
      </w:r>
      <w:r>
        <w:rPr>
          <w:rFonts w:ascii="Calibri" w:hAnsi="Calibri"/>
          <w:b w:val="0"/>
          <w:color w:val="3A4A28"/>
          <w:sz w:val="17"/>
        </w:rPr>
        <w:t>Ferroglobe Q2 2026 Financial Results — revenue $378.6M (beat consensus), silicon metal revenue $105.8M (+25.8% QoQ), FY2026 guidance $1.5-1.7B (20% growth) — Investing.com / Ferroglobe IR, July 2026</w:t>
      </w:r>
    </w:p>
    <w:p>
      <w:pPr>
        <w:spacing w:before="20" w:after="20"/>
        <w:ind w:left="170"/>
      </w:pPr>
      <w:r>
        <w:rPr>
          <w:rFonts w:ascii="Calibri" w:hAnsi="Calibri"/>
          <w:b/>
          <w:color w:val="4A6B25"/>
          <w:sz w:val="15"/>
        </w:rPr>
        <w:t xml:space="preserve">3. </w:t>
      </w:r>
      <w:r>
        <w:rPr>
          <w:rFonts w:ascii="Calibri" w:hAnsi="Calibri"/>
          <w:b w:val="0"/>
          <w:color w:val="3A4A28"/>
          <w:sz w:val="17"/>
        </w:rPr>
        <w:t>Ferroglobe Leadership &amp; Innovation — CEO Marco Levi, CTIO Dr. Benoist Ollivier, NANOMATIA AI/nanomaterials project, VP People &amp; Culture David Girardeau, high-purity silicon 99.995% — ferroglobe.com / LinkedIn,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Ferroglobe ESG Strategy 2022-2026 — sustainability roadmap, Global ESG Reports, environmental compliance — ferroglobe.com / Sustainalytics,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GSM Key Statistics: Forward P/E 9.59x, D/E 34.94%, ROE -5.99%, Forward EPS $0.415, Stock Price $3.98,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