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GSUN</w:t>
      </w:r>
      <w:r>
        <w:rPr>
          <w:rFonts w:ascii="Calibri" w:hAnsi="Calibri"/>
          <w:b/>
          <w:color w:val="1A2010"/>
          <w:sz w:val="40"/>
        </w:rPr>
        <w:t xml:space="preserve">  Golden Sun Technology Group Limited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Defensive · Education &amp; Training Services · NASDAQ · China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Golden Sun Technology Group Limited (formerly Golden Sun Health Technology Group) is a Cayman Islands holding company based in Shanghai that has pivoted from foreign-language tutoring services toward data-driven e-commerce promotion and advertising support on Chinese short-video platforms, which now generates over 90% of revenue.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GSUN's business model is a reactive pivot away from for-profit tutoring (forced by China's 2021 education-sector crackdown) into commoditized short-video e-commerce advertising support, a low-differentiation service business with no proprietary technology or IP disclosed[1]. There is no evidence of R&amp;D intensity, AI deployment, or defensible market position; the 483% FY2025 revenue surge reflects a business-line switch rather than durable competitive advantage.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community-impact, retention, or culture evidence was found, and available signals point the other way: a Chief Operating Officer resignation in September 2025 and an insider Form 144 filing to sell shares raise governance and stability concerns[2][3]. CEO Xueyuan Weng holds a large 22% stake, but this alone does not offset the lack of any articulated mission beyond revenue diversification for survival.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GSUN has been cited twice by Nasdaq for minimum bid-price deficiency (most recently with an October 12, 2026 compliance deadline) and previously executed a 1-for-10 reverse split in April 2024 to avoid delisting, alongside a 2025 minimum stockholders'-equity compliance scramble — all hallmarks of chronic financial fragility[3]. Return on equity is deeply negative (-247%) and profit margin is negative (-9.8%) despite the reported YoY revenue growth, and the $3M market cap against $35M in revenue signals the market is pricing in severe going-concern or dilution risk.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GSUN's trajectory — a regulator-forced business pivot, repeated Nasdaq compliance near-misses, a reverse stock split, and a recent COO departure — reflects a company focused on quarter-to-quarter survival and listing maintenance rather than a long-term existential strategy[1][2][3].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cause beyond revenue diversification for survival after the 2021 China tutoring-sector ban forced an abrupt shift into e-commerce marketing services[1].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 September 2025 COO resignation and subsequent replacement, combined with limited public disclosure of workplace culture, suggest instability at the leadership layer[2].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Competes in a crowded, low-barrier Chinese short-video advertising-support market against numerous similarly undifferentiated agencies, with no distinct positioning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company did successfully pivot its revenue base from banned tutoring services into e-commerce promotion, demonstrating some adaptive capacity, though the shift was reactive rather than strategic foresight[1].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Management's public disclosures center on Nasdaq bid-price and stockholders'-equity compliance rather than any forward-looking vision, and insider share sales via Form 144 during this period cut against confidence signaling[3].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GSUN reported a headline 483% FY2025 revenue surge to $35.5M after pivoting from China's now-restricted for-profit tutoring sector into short-video e-commerce advertising support, and 1H FY2026 revenue grew a further 30% with narrowing losses[1]. However, the $3M market capitalization against that revenue base, combined with a 66% debt-to-equity ratio and -247% ROE, signals the market has almost no confidence in the durability or profitability of this pivot.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GSUN has twice faced Nasdaq minimum bid-price deficiency notices, executed a 1-for-10 reverse split in 2024 to avoid delisting, and only regained stockholders'-equity compliance in August 2025 — a pattern of chronic capital-structure fragility that outweighs the topline growth story[3]. This is a SELL: extreme dilution/delisting risk, negative profitability, weak governance signals (COO turnover, insider selling), and no defensible competitive moat make this unsuitable for a quality-screened portfolio despite the growth headline.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Sustained e-commerce/advertising revenue growth if the pivot away from tutoring proves durable[1]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Regaining and holding sustained Nasdaq bid-price compliance past the October 12, 2026 deadline[3]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Nasdaq delisting risk — bid-price deficiency notice with an October 12, 2026 compliance deadline and a history of reverse splits[3]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Deeply negative ROE (-247%) and profit margin (-9.8%) despite revenue growth[1]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Dependence on Chinese short-video platform algorithms/policies outside the company's control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4. </w:t>
      </w:r>
      <w:r>
        <w:rPr>
          <w:rFonts w:ascii="Calibri" w:hAnsi="Calibri"/>
          <w:b w:val="0"/>
          <w:color w:val="3A4A28"/>
          <w:sz w:val="20"/>
        </w:rPr>
        <w:t>Governance instability signaled by recent COO turnover and insider Form 144 share sales[2][3]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GSUN's core e-commerce/livestream advertising business is increasingly exposed to AI-driven ad-targeting and content-generation tools controlled by the larger Chinese platforms it depends on (e.g., Douyin/Kuaishou ecosystems), which could commoditize its role as an intermediary[1]. No AI strategy, product, or defensive moat was disclosed in available materials, leaving the company a price-taker on platform algorithm changes rather than an AI beneficiary.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StockTitan / Simply Wall St, Golden Sun Technology Group FY2025 and 1H FY2026 revenue and earnings coverage,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TipRanks / Simply Wall St, Golden Sun leadership (CEO Xueyuan Weng, COO transition) coverage,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Nasdaq Listing Center / GlobeNewswire / StockTitan, Golden Sun Nasdaq bid-price and stockholders'-equity compliance notices, 2024-2026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