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GTES</w:t>
      </w:r>
      <w:r>
        <w:rPr>
          <w:rFonts w:ascii="Calibri" w:hAnsi="Calibri"/>
          <w:b/>
          <w:color w:val="1A2010"/>
          <w:sz w:val="40"/>
        </w:rPr>
        <w:t xml:space="preserve">  Gates Industrial Corporation plc</w:t>
      </w:r>
    </w:p>
    <w:p>
      <w:pPr>
        <w:spacing w:after="120"/>
      </w:pPr>
      <w:r>
        <w:rPr>
          <w:rFonts w:ascii="Calibri" w:hAnsi="Calibri"/>
          <w:b/>
          <w:color w:val="6E8450"/>
          <w:sz w:val="18"/>
        </w:rPr>
        <w:t>GROWTH SLEEVE · 2026-09-07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Gates Industrial Corporation plc is a global manufacturer of application-specific fluid power and power transmission solutions. The company operates through two segments: Power Transmission (belts, tensioners) and Fluid Power (hoses, connectors, couplings). Gates serves automotive aftermarket, industrial, and emerging data center cooling markets across 30+ countries. Founded in 1911, incorporated in England and Wales, headquartered in Denver, Colorado. Q2 2026 net sales reached $941.6M (+6.6% YoY) with raised full-year guidance, and TTM revenue of approximately $3.5B.</w:t>
      </w:r>
    </w:p>
    <w:p>
      <w:r>
        <w:rPr>
          <w:rFonts w:ascii="Calibri" w:hAnsi="Calibri"/>
          <w:b/>
          <w:color w:val="6E8450"/>
          <w:sz w:val="18"/>
        </w:rPr>
        <w:t>13,000 Employees · https://www.gates.com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Gates' personal mobility business sustained ~25% core growth in Q2 2026, and data center cooling revenue grew 4x in 2025 with continued momentum, representing meaningful new market penetration beyond the legacy auto/industrial base [1]. The Timken belts acquisition expands the power transmission portfolio into adjacent markets [5]. These represent significant new revenue streams but remain extensions of core competencies rather than transformative reinventions. AI Deployment (1/2): Gates expanded its Data Master MegaFlex hose portfolio with sizes engineered for AI, hyperscale, and HPC facility direct-to-chip liquid cooling, showcased at COMPUTEX TAIPEI 2026 [2]. These are physical products serving AI infrastructure generating measurable revenue (4x growth), though they are not AI-powered products themselves. Market Share (1/2): Global leader in power transmission belts and engineered fluid power solutions with dominant aftermarket positions, though specific market share percentages were not quantified in recent filings [1]. Product Pipeline (1/2): Data center segment targeting $100-200M in revenue by 2028, and personal mobility expected to grow 25-30% annually through 2028, providing specific revenue visibility with concrete timelines [1]. R&amp;D Intensity (0/1): No specific R&amp;D spending data disclosed as a percentage of revenue, and Glassdoor reviews cite private equity involvement dampening innovation investment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Gates articulates a 'Powering Progress' purpose connecting its engineered solutions to making the world safer, more efficient, and more sustainable, with its G-T-E-S sustainability framework embedding ESG principles into its corporate identity [2]. The purpose is clear and connects to sustainability, but remains operational rather than transformative and is largely interchangeable with other industrial peers. Community Impact (1/2): The company maintains a Supplier Code of Conduct covering environmental, labor, and human rights practices, and the ESG Steering Committee aligns sustainability goals throughout the organization. Third-party assessments confirm genuine commitment across Employee Wellbeing, Ethical Supply Chain Management, GHG Emissions, and Water Conservation, though no specific charitable programs or dollar amounts are disclosed [2]. Employee Retention (0/2): Glassdoor reviews reveal significant cultural concerns including a 'mass exodus of engineers on their innovation team' and criticism that private equity involvement 'stopped innovation and hired a leadership team that failed at everything except letting top talent leave' [3]. Upper management described as 'always changing goals' with 'lack of vision and direction.' Insider Buying (0/2): Net insider selling over the past 3 months. Blackstone Group (10% owner) made share purchases in May 2026, but this is institutional position management rather than leadership conviction buying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Gates delivered Q2 2026 revenue of $941.6M (+6.6% YoY) and raised full-year guidance to core sales growth of 2.5-4.5%, adjusted EBITDA of $800-830M, and adjusted EPS of $1.62-1.70 [1]. D/E of 65% is within the 70% target with $812M cash against $2.4B debt (score 1.0) [4]. Forward P/E of 17.38x is below the 20x target (score 1.0) [4]. Revenue growth YoY improved to ~5% from 1% a year ago, reflecting the Q2 acceleration (score 0.83). Key weaknesses include ROE of 7.88% (score 0.53 against 15% target), GAAP profit margin of 7.30% (score 0.37 against 20% target), and 5-year revenue CAGR of approximately 2.5% (score 0.50) as revenue has oscillated between $3.39-3.57B since 2021 [4]. PEG ratio unavailable and excluded from calculation. The stock clears the liquidity floor with ~$55.6M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Gates Industrial under private equity ownership (Blackstone since 2014) exhibits primarily finite game characteristics. While the 115-year-old company has deep engineering heritage and is making strategic pivots into data center cooling and personal mobility, the PE-driven culture has prioritized cost optimization and financial returns over long-term capability building. The documented talent loss on the innovation team and leadership culture concerns from Glassdoor reviews undermine the organizational trust Sinek considers foundational to infinite play.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Gates has a sustainability-oriented purpose embedded in its G-T-E-S framework and 'Powering Progress' vision, but it reads as a corporate governance exercise rather than a genuine just cause that drives strategic decisions [2]. The company's identity is tied to engineering excellence in belts and hoses — a valuable business but not a rallying cry that inspires sacrifice. Under Blackstone ownership since 2014, financial returns rather than purpose drive strategic priorities including the Timken acquisition, footprint optimization, and share repurchases. Sinek would note the absence of a clear, enduring vision that transcends the product portfolio.</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reveal a low-trust environment characterized by leadership ineffectiveness, micromanagement in the innovation organization, and a 'mass exodus of engineers' on the innovation team [3]. Private equity involvement is cited as stopping innovation and installing leadership that 'failed at everything except letting top talent leave.' Employees describe 'upper management always changing goals' with 'lack of vision and direction.' CEO Ivo Jurek has led since 2015, providing stability at the top, but the organizational culture beneath lacks the psychological safety Sinek considers essential for infinite play.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Gates frames its competitive position in terms of market opportunities — data center cooling, personal mobility, and industrial automation — rather than defeating specific competitors [1]. The Timken belts acquisition reflects a strategy of expanding capability rather than eliminating a rival. Management's earnings commentary focuses on serving evolving customer needs and entering new markets, consistent with an infinite competitive mindset that prioritizes self-improvement over market share battles.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Gates has demonstrated meaningful strategic flexibility by pivoting into data center liquid cooling — a market that did not exist for them five years ago — growing it 4x in 2025 with momentum continuing through Q2 2026, and growing personal mobility at 25%+ core growth [1][2]. The Timken belts acquisition shows willingness to reshape the portfolio. However, these moves are extensions of core fluid power and belt competencies rather than transformative reinventions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Gates invested in data center cooling capabilities ahead of revenue certainty, committing engineering resources and product development to a nascent market now targeting $100-200M by 2028 [1]. The raised FY2026 guidance (adjusted EBITDA $800-830M, adjusted EPS $1.62-1.70) reflects confidence in strategic investments [1]. However, under PE ownership, these investments are calibrated for financial returns rather than bold long-term bets that sacrifice near-term earnings for enduring competitive advantage.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Gates Industrial at 17.38x forward earnings offers reasonable value for a global industrial leader executing a multi-year pivot toward secular growth markets. Q2 2026 revenue of $941.6M (+6.6% YoY) with record adjusted EBITDA of $211.4M (22.5% margin) prompted management to raise full-year guidance across sales, profitability, and EPS ($1.62-1.70) [1]. Personal mobility sustained ~25% core growth in Q2 and commercial on-highway grew 20%+, validating the EV content strategy [1]. Data center cooling (targeting $100-200M by 2028) provides a new growth vector tied to AI infrastructure buildout, with the Data Master MegaFlex product line engineered for direct-to-chip cooling [2]. The balance sheet is conservative at 65% D/E with $812M cash, and the stock trades below its 52-week high of $30.34 [4].</w:t>
      </w:r>
    </w:p>
    <w:p>
      <w:pPr>
        <w:spacing w:after="120"/>
      </w:pPr>
      <w:r>
        <w:rPr>
          <w:rFonts w:ascii="Calibri" w:hAnsi="Calibri"/>
          <w:b w:val="0"/>
          <w:color w:val="3A4A28"/>
          <w:sz w:val="20"/>
        </w:rPr>
        <w:t>The core concern is that Gates remains a low-margin industrial with GAAP profit margin of 7.30% and ROE of 7.88%, well below industrial peers, suggesting the company is not generating adequate returns on its asset base despite cost-optimization efforts [4]. The 5-year revenue CAGR of approximately 2.5% — with revenue oscillating between $3.39-3.57B since 2021 — shows that growth initiatives have not yet overcome cyclical headwinds in legacy automotive and industrial markets. Under Blackstone ownership since 2014, talent flight on the innovation team threatens the R&amp;D pipeline that must deliver differentiated cooling solutions against established competitors like Parker Hannifin and Continental [3]. Full-year 2026 core sales guidance of only 2.5-4.5% provides limited upside visibility, and the trailing PE of 29.14x prices in more recovery than TTM earnings currently justify [4]. The data center opportunity, while exciting, remains a small fraction of the $3.5B revenue base and requires successful execution at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liquid cooling revenue scaling toward the $100-200M target by 2028 as AI and HPC facility buildout accelerates demand for direct-to-chip cooling infrastructure, compounding on the 4x growth rate achieved in 2025 [1][2]</w:t>
      </w:r>
    </w:p>
    <w:p>
      <w:pPr>
        <w:spacing w:before="40" w:after="40"/>
        <w:ind w:left="283"/>
      </w:pPr>
      <w:r>
        <w:rPr>
          <w:rFonts w:ascii="Calibri" w:hAnsi="Calibri"/>
          <w:b/>
          <w:color w:val="4A6B25"/>
          <w:sz w:val="20"/>
        </w:rPr>
        <w:t xml:space="preserve">2. </w:t>
      </w:r>
      <w:r>
        <w:rPr>
          <w:rFonts w:ascii="Calibri" w:hAnsi="Calibri"/>
          <w:b w:val="0"/>
          <w:color w:val="3A4A28"/>
          <w:sz w:val="20"/>
        </w:rPr>
        <w:t>Personal mobility segment sustaining ~25% annual core growth through 2028, driven by EV and micro-mobility adoption requiring specialized belt and hose solutions engineered for electrified powertrains [1]</w:t>
      </w:r>
    </w:p>
    <w:p>
      <w:pPr>
        <w:spacing w:before="40" w:after="40"/>
        <w:ind w:left="283"/>
      </w:pPr>
      <w:r>
        <w:rPr>
          <w:rFonts w:ascii="Calibri" w:hAnsi="Calibri"/>
          <w:b/>
          <w:color w:val="4A6B25"/>
          <w:sz w:val="20"/>
        </w:rPr>
        <w:t xml:space="preserve">3. </w:t>
      </w:r>
      <w:r>
        <w:rPr>
          <w:rFonts w:ascii="Calibri" w:hAnsi="Calibri"/>
          <w:b w:val="0"/>
          <w:color w:val="3A4A28"/>
          <w:sz w:val="20"/>
        </w:rPr>
        <w:t>Raised FY2026 guidance — core sales +2.5-4.5%, adjusted EBITDA $800-830M (22.5% Q2 margin), adjusted EPS $1.62-1.70 — signals management confidence in second-half acceleration and margin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power transmission and fluid power markets remain cyclical with 5-year revenue CAGR of ~2.5% and full-year 2026 core sales guidance of only 2.5-4.5%, providing limited margin of safety against industrial downturn [1][4]</w:t>
      </w:r>
    </w:p>
    <w:p>
      <w:pPr>
        <w:spacing w:before="40" w:after="40"/>
        <w:ind w:left="283"/>
      </w:pPr>
      <w:r>
        <w:rPr>
          <w:rFonts w:ascii="Calibri" w:hAnsi="Calibri"/>
          <w:b/>
          <w:color w:val="4A6B25"/>
          <w:sz w:val="20"/>
        </w:rPr>
        <w:t xml:space="preserve">2. </w:t>
      </w:r>
      <w:r>
        <w:rPr>
          <w:rFonts w:ascii="Calibri" w:hAnsi="Calibri"/>
          <w:b w:val="0"/>
          <w:color w:val="3A4A28"/>
          <w:sz w:val="20"/>
        </w:rPr>
        <w:t>Glassdoor-documented talent exodus on the innovation team and PE-driven short-termism threaten Gates' ability to develop differentiated liquid cooling products critical to the data center growth thesis [3]</w:t>
      </w:r>
    </w:p>
    <w:p>
      <w:pPr>
        <w:spacing w:before="40" w:after="40"/>
        <w:ind w:left="283"/>
      </w:pPr>
      <w:r>
        <w:rPr>
          <w:rFonts w:ascii="Calibri" w:hAnsi="Calibri"/>
          <w:b/>
          <w:color w:val="4A6B25"/>
          <w:sz w:val="20"/>
        </w:rPr>
        <w:t xml:space="preserve">3. </w:t>
      </w:r>
      <w:r>
        <w:rPr>
          <w:rFonts w:ascii="Calibri" w:hAnsi="Calibri"/>
          <w:b w:val="0"/>
          <w:color w:val="3A4A28"/>
          <w:sz w:val="20"/>
        </w:rPr>
        <w:t>Blackstone private equity ownership since 2014 creates potential for near-term exit via secondary offering that could destabilize management and strategic direction while suppressing the stock price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Gates' core business is manufacturing physical products — rubber belts, hydraulic hoses, and fluid power connectors — that AI structurally cannot replace [1]. The company's value proposition is material science and precision engineering, requiring physical manufacturing infrastructure across 30+ countries. AI is a demand accelerator: data centers running GPU clusters require liquid cooling infrastructure, and Gates' Data Master MegaFlex hoses grew 4x in 2025 serving this exact need [2]. AI data centers are projected to quadruple power and cooling density, directly increasing demand for Gates' fluid conveyance products. The aftermarket replacement business (~60% of revenue) is inherently immune to AI disruption — physical belts and hoses wear out on equipment maintenance cycles regardless of AI adoption. AI Opportunity (1/1): Gates generates quantifiable and rapidly growing revenue from AI infrastructure — data center cooling products grew 4x in 2025, targeting $100-200M by 2028, with specific product lines (Data Master MegaFlex) engineered for direct-to-chip AI cooling architectures showcased at COMPUTEX TAIPEI 2026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Gates Industrial Q2 2026 Earnings — Net Sales $941.6M (+6.6% YoY), Adjusted EBITDA $211.4M (22.5% margin), Raised FY2026 Guidance: Core Sales +2.5-4.5%, Adj EPS $1.62-1.70, July 2026</w:t>
      </w:r>
    </w:p>
    <w:p>
      <w:pPr>
        <w:spacing w:before="20" w:after="20"/>
        <w:ind w:left="170"/>
      </w:pPr>
      <w:r>
        <w:rPr>
          <w:rFonts w:ascii="Calibri" w:hAnsi="Calibri"/>
          <w:b/>
          <w:color w:val="4A6B25"/>
          <w:sz w:val="15"/>
        </w:rPr>
        <w:t xml:space="preserve">2. </w:t>
      </w:r>
      <w:r>
        <w:rPr>
          <w:rFonts w:ascii="Calibri" w:hAnsi="Calibri"/>
          <w:b w:val="0"/>
          <w:color w:val="3A4A28"/>
          <w:sz w:val="17"/>
        </w:rPr>
        <w:t>Gates Corporation Data Master MegaFlex Product Portfolio for AI and Hyperscale Data Center Liquid Cooling — gates.com, COMPUTEX TAIPEI 2026</w:t>
      </w:r>
    </w:p>
    <w:p>
      <w:pPr>
        <w:spacing w:before="20" w:after="20"/>
        <w:ind w:left="170"/>
      </w:pPr>
      <w:r>
        <w:rPr>
          <w:rFonts w:ascii="Calibri" w:hAnsi="Calibri"/>
          <w:b/>
          <w:color w:val="4A6B25"/>
          <w:sz w:val="15"/>
        </w:rPr>
        <w:t xml:space="preserve">3. </w:t>
      </w:r>
      <w:r>
        <w:rPr>
          <w:rFonts w:ascii="Calibri" w:hAnsi="Calibri"/>
          <w:b w:val="0"/>
          <w:color w:val="3A4A28"/>
          <w:sz w:val="17"/>
        </w:rPr>
        <w:t>Glassdoor Employee Reviews — Gates Corporation Leadership Culture, Innovation Team Attrition, and PE Impact,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and Yahoo Finance — GTES Key Statistics: Forward P/E 17.38x, PE 29.14x, D/E 65%, ROE 7.88%, Profit Margin 7.30%, Stock Price $27.80, Market Cap $7.03B,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Gates Industrial Timken Belts Acquisition and Blackstone Ownership Activity — Multiple Analysts and SEC Filings,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