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GTM</w:t>
      </w:r>
      <w:r>
        <w:rPr>
          <w:rFonts w:ascii="Calibri" w:hAnsi="Calibri"/>
          <w:b/>
          <w:color w:val="1A2010"/>
          <w:sz w:val="40"/>
        </w:rPr>
        <w:t xml:space="preserve">  ZoomInfo Technologies Inc.</w:t>
      </w:r>
    </w:p>
    <w:p>
      <w:pPr>
        <w:spacing w:after="120"/>
      </w:pPr>
      <w:r>
        <w:rPr>
          <w:rFonts w:ascii="Calibri" w:hAnsi="Calibri"/>
          <w:b/>
          <w:color w:val="6E8450"/>
          <w:sz w:val="18"/>
        </w:rPr>
        <w:t>GROWTH SLEEVE · 2026-10-09 · Inspire: 54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NMS · United States</w:t>
      </w:r>
    </w:p>
    <w:p>
      <w:pPr>
        <w:spacing w:after="80"/>
      </w:pPr>
      <w:r>
        <w:rPr>
          <w:rFonts w:ascii="Calibri" w:hAnsi="Calibri"/>
          <w:b w:val="0"/>
          <w:color w:val="3A4A28"/>
          <w:sz w:val="20"/>
        </w:rPr>
        <w:t>ZoomInfo Technologies provides a go-to-market intelligence and engagement platform for sales, marketing, operations, and recruiting professionals. The cloud-based platform delivers workflow tools, organizational data, and predictive scoring to help users identify target customers, craft messages, and engage through automated sales tools. The company rebranded its ticker to GTM in 2025, reflecting its pivot to the GTM.AI platform. TTM revenue is approximately $1.26B with 86.5% gross margins, though GAAP profitability was distorted by a $651M goodwill impairment in Q2 FY2026.</w:t>
      </w:r>
    </w:p>
    <w:p>
      <w:r>
        <w:rPr>
          <w:rFonts w:ascii="Calibri" w:hAnsi="Calibri"/>
          <w:b/>
          <w:color w:val="6E8450"/>
          <w:sz w:val="18"/>
        </w:rPr>
        <w:t>3,180 Employees · https://www.zoominfo.com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ZoomInfo executed a strategic pivot from seat-based SaaS to consumption-based AI platform, rebranding to GTM and launching the GTM.AI suite including ZoomInfo Copilot, which now represents 20% of annual contract value [1]. The Operations (data) segment grew 20% YoY, demonstrating that the AI-centric model is opening a new revenue stream, though overall growth remains anemic at 1.2% [1]. AI Deployment (2/2): ZoomInfo Copilot ships to enterprise customers and reached 20% of total ACV by Q2 2026, with the consumption model enabling measurable per-query pricing that directly ties AI usage to revenue; this is among the most concrete AI monetization in the B2B software space [1][2]. Market Share (1/2): ZoomInfo remains a meaningful player in B2B go-to-market intelligence with $1.26B TTM revenue and 86.5% gross margins, but is losing competitive ground to AI-native entrants Apollo and Clay, prompting BTIG's downgrade to Neutral; net revenue retention declined to 89%, indicating net customer contraction [3]. Product Pipeline (1/2): The GTM.AI platform and consumption-based pricing model are rolling out, but specific next-generation product timelines are vague — management discusses 'platform evolution' without naming concrete launches or dates beyond the existing Copilot offering [1]. R&amp;D Intensity (1/1): As a software company with operating margins of 35% (adjusted) and heavy investment in AI capabilities, R&amp;D spending is above industry norms for the B2B SaaS category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ZoomInfo's stated purpose centers on helping 'go-to-market teams find, acquire, and grow customers' — a clear description of its function but not a deeper purpose statement. The mission identifies what the company does and for whom without articulating why it matters beyond commercial outcomes; it is interchangeable with any sales intelligence provider [4]. Community Impact (0/2): No evidence of distinctive charitable programs, corporate foundations, or community investment beyond standard corporate practices. The company's 2023 materiality assessment focused on emissions tracking and diversity metrics but disclosed no significant philanthropic initiatives [4]. Employee Retention (0/2): ZoomInfo eliminated approximately 600 positions (roughly 20% of its workforce) in 2025-2026, and Glassdoor reviews describe 'constant strategy shifts and organizational whiplash' from frequent senior leadership changes [3]. The layoffs and restructuring signal instability incompatible with mission-driven retention. Insider Buying (0/2): No evidence of meaningful net insider buying by executives in the last 12 months; insider transaction data shows routine compensation-related sales rather than conviction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ZoomInfo's forward P/E of 3.4x reflects deeply discounted valuation against the 20x target (score 1.0), and estimated 5-year revenue CAGR of approximately 11% meets the 10% target (score 1.0, 2x weight), reflecting rapid growth from 2020 IPO through 2023 before plateauing [1][5]. Revenue growth YoY of 1.2% falls well short of the 10% target (score 0.71), and D/E of 183.2% is elevated versus the 70% target but below the 300% floor (score 0.51), with $1.52B total debt against $153M cash [5]. GAAP profit margin of -43.0% (score 0.0) reflects the $651M non-cash goodwill impairment in Q2 2026; adjusted operating margins remain healthy at 35% [1]. ROE of -45.4% (score 0.0, 2x weight) is similarly distorted by the impairment. PEG ratio excluded due to negative trailing earnings. Liquidity is adequate at $24.1M daily dollar volume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ZoomInfo plays a decidedly finite game, optimizing for quarterly metrics and reacting to competitive threats rather than advancing a durable cause. The company has changed strategy multiple times in three years — from seat-based SaaS to consumption pricing to GTM.AI branding — each repositioning driven by market pressure rather than a consistent long-term vision. The 20% workforce reduction, frequent leadership changes, and declining NRR suggest an organization focused on short-term survival rather than building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ZoomInfo's purpose — helping businesses 'find, acquire, and grow customers' — is a functional description, not a Just Cause. It does not articulate a vision of a better future that would inspire sacrifice or long-term commitment. The recent rebranding to GTM reflects competitive positioning rather than purposeful evolution. No evidence that strategic decisions trace to an enduring purpose beyond revenue generation [4].</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elimination of approximately 600 employees (20% of workforce) in 2025-2026, combined with Glassdoor reviews describing 'constant strategy shifts and organizational whiplash' and leadership that is 'completely out of touch,' indicates a low-trust environment [3]. Frequent senior leadership changes create instability inconsistent with psychological safety. The rapid pace of restructuring — from seat-based to consumption-based to AI-first — has left employees navigating uncertainty rather than advancing a shared mission.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ZoomInfo's competitive language and strategic response to Clay and Apollo focuses on defending market share through product repositioning and pricing changes rather than acknowledging rivals' strengths as motivation for self-improvement. The defensive posture — rebranding, restructuring, eliminating jobs — suggests a finite 'win or lose' competitive mindset rather than Sinek's infinite game approach of using worthy rivals to reveal one's own weaknesses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traditional seat-based SaaS to consumption-based AI platform represents meaningful strategic adaptation, and the willingness to cannibalize existing subscription revenue for a consumption model shows some flexibility [1]. However, the changes appear driven by competitive necessity rather than a Just Cause, and the transformation is incremental (same data business, different pricing model) rather than truly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showed some courage in adopting consumption-based pricing that deliberately cannibalized seat-based revenue, and in investing heavily in AI capabilities during a period of declining stock price and investor skepticism [1][2]. However, the simultaneous 20% workforce reduction and guidance cuts suggest the courage was constrained by short-term financial pressure rather than representing a principled long-term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ZoomInfo at $3.83 with a $1.1B market cap offers a deeply discounted entry into a B2B data platform generating $1.26B TTM revenue, 86.5% gross margins, $356M free cash flow (32% FCF yield), and $439M operating cash flow despite the GAAP distortion from a $651M goodwill impairment [1][5]. The GTM.AI pivot is gaining traction — Copilot reached 20% of ACV, the Operations/data segment grew 20% YoY, and FY2026 guidance was raised to $1.207-1.217B with adjusted operating income of $446-451M [1]. At 3.4x forward earnings, the market prices in existential risk, creating asymmetric upside if AI product adoption stabilizes and then reaccelerates net revenue retention from the current 89%.</w:t>
      </w:r>
    </w:p>
    <w:p>
      <w:pPr>
        <w:spacing w:after="120"/>
      </w:pPr>
      <w:r>
        <w:rPr>
          <w:rFonts w:ascii="Calibri" w:hAnsi="Calibri"/>
          <w:b w:val="0"/>
          <w:color w:val="3A4A28"/>
          <w:sz w:val="20"/>
        </w:rPr>
        <w:t>The bear case is severe and well-supported. Net revenue retention of 89% means the customer base is actively shrinking, and the competitive moat — a proprietary database of 300M+ contacts — is eroding as AI-native tools like Clay and Apollo enable real-time data assembly without a subscription [3]. The 20% workforce reduction signals management's concern about cost structure sustainability, and the stock's 90%+ decline from its 2021 highs reflects a structural de-rating, not just cyclical weakness. Total debt of $1.52B against $153M cash and a market cap of $1.1B creates significant financial risk if revenue declines accelerate. The consumption pricing model, while strategically sound, introduces revenue volatility that could produce negative quarters. Analysts remain split, with price targets ranging from $2 to $4.50, and the securities class action alleging revenue inflation through coercive auto-renew policies adds governance risk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GTM.AI Copilot adoption reaching 20% of ACV with potential to reaccelerate net revenue retention above 100% as consumption-based pricing reduces friction and aligns revenue with customer value creation [1]</w:t>
      </w:r>
    </w:p>
    <w:p>
      <w:pPr>
        <w:spacing w:before="40" w:after="40"/>
        <w:ind w:left="283"/>
      </w:pPr>
      <w:r>
        <w:rPr>
          <w:rFonts w:ascii="Calibri" w:hAnsi="Calibri"/>
          <w:b/>
          <w:color w:val="4A6B25"/>
          <w:sz w:val="20"/>
        </w:rPr>
        <w:t xml:space="preserve">2. </w:t>
      </w:r>
      <w:r>
        <w:rPr>
          <w:rFonts w:ascii="Calibri" w:hAnsi="Calibri"/>
          <w:b w:val="0"/>
          <w:color w:val="3A4A28"/>
          <w:sz w:val="20"/>
        </w:rPr>
        <w:t>Operations/data segment growing 20% YoY could become the dominant revenue driver as seat-based subscriptions decline, enabling ZoomInfo to reposition as an AI-powered data infrastructure company [1]</w:t>
      </w:r>
    </w:p>
    <w:p>
      <w:pPr>
        <w:spacing w:before="40" w:after="40"/>
        <w:ind w:left="283"/>
      </w:pPr>
      <w:r>
        <w:rPr>
          <w:rFonts w:ascii="Calibri" w:hAnsi="Calibri"/>
          <w:b/>
          <w:color w:val="4A6B25"/>
          <w:sz w:val="20"/>
        </w:rPr>
        <w:t xml:space="preserve">3. </w:t>
      </w:r>
      <w:r>
        <w:rPr>
          <w:rFonts w:ascii="Calibri" w:hAnsi="Calibri"/>
          <w:b w:val="0"/>
          <w:color w:val="3A4A28"/>
          <w:sz w:val="20"/>
        </w:rPr>
        <w:t>At 3.4x forward earnings and 32% free cash flow yield, any stabilization in customer churn could trigger a significant re-rating from the current distressed valuation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Net revenue retention of 89% and declining indicates accelerating customer churn as AI-native competitors Clay and Apollo offer comparable go-to-market intelligence at lower cost with greater flexibility, threatening ZoomInfo's core data moat [3]</w:t>
      </w:r>
    </w:p>
    <w:p>
      <w:pPr>
        <w:spacing w:before="40" w:after="40"/>
        <w:ind w:left="283"/>
      </w:pPr>
      <w:r>
        <w:rPr>
          <w:rFonts w:ascii="Calibri" w:hAnsi="Calibri"/>
          <w:b/>
          <w:color w:val="4A6B25"/>
          <w:sz w:val="20"/>
        </w:rPr>
        <w:t xml:space="preserve">2. </w:t>
      </w:r>
      <w:r>
        <w:rPr>
          <w:rFonts w:ascii="Calibri" w:hAnsi="Calibri"/>
          <w:b w:val="0"/>
          <w:color w:val="3A4A28"/>
          <w:sz w:val="20"/>
        </w:rPr>
        <w:t>Leverage risk with $1.52B total debt against $153M cash on a $1.1B market cap — if revenue declines accelerate, the company could face covenant pressure or need dilutive refinancing [5]</w:t>
      </w:r>
    </w:p>
    <w:p>
      <w:pPr>
        <w:spacing w:before="40" w:after="40"/>
        <w:ind w:left="283"/>
      </w:pPr>
      <w:r>
        <w:rPr>
          <w:rFonts w:ascii="Calibri" w:hAnsi="Calibri"/>
          <w:b/>
          <w:color w:val="4A6B25"/>
          <w:sz w:val="20"/>
        </w:rPr>
        <w:t xml:space="preserve">3. </w:t>
      </w:r>
      <w:r>
        <w:rPr>
          <w:rFonts w:ascii="Calibri" w:hAnsi="Calibri"/>
          <w:b w:val="0"/>
          <w:color w:val="3A4A28"/>
          <w:sz w:val="20"/>
        </w:rPr>
        <w:t>Securities class action alleging revenue inflation through coercive auto-renew policies and high-risk receivables creates litigation overhang and potential governance concerns for institutional investors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ZoomInfo's core B2B contact data and sales intelligence business faces direct AI substitution risk from AI-native competitors Clay and Apollo, which can assemble, enrich, and activate prospect data using foundation models at lower cost and with greater flexibility [3]. Stifel downgraded the stock to Hold specifically citing 'AI-related disruption causing elongated sales cycles and paused purchasing decisions,' while BTIG flagged 'rising competitive pressure from private rivals' as AI reduces the switching cost barrier that protected ZoomInfo's data moat [3]. Net revenue retention of 89% confirms customers are net-churning, partly due to AI alternatives. The company's proprietary database of 300M+ contacts retains value, but the moat is eroding as AI enables real-time data assembly. AI Opportunity (1/1): ZoomInfo Copilot has reached 20% of total ACV and generates measurable revenue under the new consumption-based pricing model, demonstrating genuine AI monetization even as the core business contracts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ZoomInfo Technologies Q2 FY2026 Earnings Release (8-K), August 5, 2026 — $310M revenue (+1.2% YoY), $651M goodwill impairment, Copilot at 20% ACV, FY2026 guidance raised to $1.207-1.217B</w:t>
      </w:r>
    </w:p>
    <w:p>
      <w:pPr>
        <w:spacing w:before="20" w:after="20"/>
        <w:ind w:left="170"/>
      </w:pPr>
      <w:r>
        <w:rPr>
          <w:rFonts w:ascii="Calibri" w:hAnsi="Calibri"/>
          <w:b/>
          <w:color w:val="4A6B25"/>
          <w:sz w:val="15"/>
        </w:rPr>
        <w:t xml:space="preserve">2. </w:t>
      </w:r>
      <w:r>
        <w:rPr>
          <w:rFonts w:ascii="Calibri" w:hAnsi="Calibri"/>
          <w:b w:val="0"/>
          <w:color w:val="3A4A28"/>
          <w:sz w:val="17"/>
        </w:rPr>
        <w:t>ZoomInfo Technologies Q1 FY2026 Earnings Release, May 11, 2026 — $310.2M revenue (+1.5% YoY), macro deterioration in downmarket noted</w:t>
      </w:r>
    </w:p>
    <w:p>
      <w:pPr>
        <w:spacing w:before="20" w:after="20"/>
        <w:ind w:left="170"/>
      </w:pPr>
      <w:r>
        <w:rPr>
          <w:rFonts w:ascii="Calibri" w:hAnsi="Calibri"/>
          <w:b/>
          <w:color w:val="4A6B25"/>
          <w:sz w:val="15"/>
        </w:rPr>
        <w:t xml:space="preserve">3. </w:t>
      </w:r>
      <w:r>
        <w:rPr>
          <w:rFonts w:ascii="Calibri" w:hAnsi="Calibri"/>
          <w:b w:val="0"/>
          <w:color w:val="3A4A28"/>
          <w:sz w:val="17"/>
        </w:rPr>
        <w:t>Analyst Coverage — Stifel downgrade to Hold citing AI disruption risk, BTIG downgrade to Neutral citing Clay/Apollo competition, 600 employee layoffs — Yahoo Finance, Barchart, Investing.com, 2025-2026</w:t>
      </w:r>
    </w:p>
    <w:p>
      <w:pPr>
        <w:spacing w:before="20" w:after="20"/>
        <w:ind w:left="170"/>
      </w:pPr>
      <w:r>
        <w:rPr>
          <w:rFonts w:ascii="Calibri" w:hAnsi="Calibri"/>
          <w:b/>
          <w:color w:val="4A6B25"/>
          <w:sz w:val="15"/>
        </w:rPr>
        <w:t xml:space="preserve">4. </w:t>
      </w:r>
      <w:r>
        <w:rPr>
          <w:rFonts w:ascii="Calibri" w:hAnsi="Calibri"/>
          <w:b w:val="0"/>
          <w:color w:val="3A4A28"/>
          <w:sz w:val="17"/>
        </w:rPr>
        <w:t>ZoomInfo Technologies 10-K FY2024 and Proxy Statement — ESG disclosures, Sustainalytics Low Risk rating (17.2), securities class action disclosure — SEC filings</w:t>
      </w:r>
    </w:p>
    <w:p>
      <w:pPr>
        <w:spacing w:before="20" w:after="20"/>
        <w:ind w:left="170"/>
      </w:pPr>
      <w:r>
        <w:rPr>
          <w:rFonts w:ascii="Calibri" w:hAnsi="Calibri"/>
          <w:b/>
          <w:color w:val="4A6B25"/>
          <w:sz w:val="15"/>
        </w:rPr>
        <w:t xml:space="preserve">5. </w:t>
      </w:r>
      <w:r>
        <w:rPr>
          <w:rFonts w:ascii="Calibri" w:hAnsi="Calibri"/>
          <w:b w:val="0"/>
          <w:color w:val="3A4A28"/>
          <w:sz w:val="17"/>
        </w:rPr>
        <w:t>Yahoo Finance — GTM key statistics,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