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GTN</w:t>
      </w:r>
      <w:r>
        <w:rPr>
          <w:rFonts w:ascii="Calibri" w:hAnsi="Calibri"/>
          <w:b/>
          <w:color w:val="1A2010"/>
          <w:sz w:val="40"/>
        </w:rPr>
        <w:t xml:space="preserve">  Gray Media, Inc.</w:t>
      </w:r>
    </w:p>
    <w:p>
      <w:pPr>
        <w:spacing w:after="120"/>
      </w:pPr>
      <w:r>
        <w:rPr>
          <w:rFonts w:ascii="Calibri" w:hAnsi="Calibri"/>
          <w:b/>
          <w:color w:val="6E8450"/>
          <w:sz w:val="18"/>
        </w:rPr>
        <w:t>DIVIDEND SLEEVE · 2026-09-20 · Inspire: 15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Broadcasting · NYSE · United States</w:t>
      </w:r>
    </w:p>
    <w:p>
      <w:pPr>
        <w:spacing w:after="80"/>
      </w:pPr>
      <w:r>
        <w:rPr>
          <w:rFonts w:ascii="Calibri" w:hAnsi="Calibri"/>
          <w:b w:val="0"/>
          <w:color w:val="3A4A28"/>
          <w:sz w:val="20"/>
        </w:rPr>
        <w:t>Gray Media, Inc. (formerly Gray Television) is one of the largest television broadcast companies in the United States, operating stations reaching approximately 113 markets covering 36% of U.S. TV households. The company generates revenue from advertising (including political), retransmission consent fees, and digital media services. Q2 2026 revenue rose 9% YoY driven by political advertising surge (+$91M, +414%) and acquisition of 14 stations in existing markets plus entry into 4 new markets. Founded in 1891, headquartered in Atlanta, Georgia. Market cap approximately $457M against ~$5.8B total debt.</w:t>
      </w:r>
    </w:p>
    <w:p>
      <w:r>
        <w:rPr>
          <w:rFonts w:ascii="Calibri" w:hAnsi="Calibri"/>
          <w:b/>
          <w:color w:val="6E8450"/>
          <w:sz w:val="18"/>
        </w:rPr>
        <w:t>9,165 Employees · https://graymedia.com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Q2 2026 revenue grew 9% YoY driven primarily by cyclical political advertising (+$91M, +414%) and strategic station acquisitions rather than organic innovation [1]. Q1 2026 revenue of $768M declined 1.8% YoY excluding political tailwinds [2]. Gray launched a streaming structure in January 2026 and entered four new markets through acquisitions, representing incremental extensions of the existing broadcast model rather than transformative pivots. AI Deployment (1/2): Gray was the first broadcaster to publish Guidelines for Use of Generative AI and established an AI Policy Committee, with SVP Lee Zurik leading news strategy and responsible AI integration [3]. However, this is a defensive governance framework — no AI-powered products are shipping to customers and no specific AI-driven cost savings have been quantified. Market Share (1/2): Gray is one of the largest local TV station operators in the U.S. (113 markets, 36% household reach), a meaningful competitive position reinforced by recent acquisitions, but within a structurally declining industry facing cord-cutting and digital advertising shifts [1]. Product Pipeline (0/2): No next-generation products announced beyond incremental digital marketing services and the streaming structure. Revenue trajectory depends on cyclical political advertising rather than product innovation [1]. R&amp;D Intensity (0/1): Minimal R&amp;D spending as a broadcast operator; primarily an acquirer and operator of existing infrastructure with no disclosed R&amp;D budget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Gray's purpose centers on local journalism and community service through its TV stations — providing local news, weather, and emergency information to 113 markets [4]. Local journalism is inherently purpose-driven and serves a vital democratic function, but Gray's articulation of this purpose is generic and interchangeable with any broadcaster's mission. CEO Howell's stated aim to be 'decisive, innovative, and agile' is operational rather than aspirational [3]. Community Impact (1/2): Gray serves as a primary local news source for millions of Americans across 113 markets, employing 9,165 journalists and media professionals. The company published its first ESG Report in 2023 with diversity initiatives and a DEI Task Force under Board oversight [4]. Concrete community service through local news coverage, though specific charitable dollar amounts for foundation or philanthropic programs were not identified. Employee Retention (0/2): Employee reviews indicate below-average workplace satisfaction with approximately 3.0/5 ratings and only 56% recommending working at Gray, with common complaints about below-market pay and outdated technology [3]. Insider Buying (0/2): No notable insider buying activity identified; dual-class share structure concentrates control with CEO Hilton Howell's family through superior voting shares rather than demonstrating conviction through open-market purchases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Gray's financial profile has deteriorated — profit margin turned negative at -0.83% and ROE at -0.94%, both scoring zero [5]. D/E of 215.8% with approximately $5.8B total debt against a ~$457M market cap represents extreme leverage, scoring 0.37 against the 70% target [5]. Forward P/E of -6.34 reflects analyst expectations of continued losses, scoring zero [5]. Revenue growth of 8.7% YoY (driven by political advertising and acquisitions) scores well at 0.96 against the 10% target [1]. Dividend metrics provide partial support: consecutive years paid of 5 (since 2021 reinstatement) scores 0.5 with 2x weight, but consecutive years growth of 0 (flat $0.32/year since reinstatement) and 5yr dividend growth CAGR of 0% both score zero [5]. The flat dividend with no growth and negative earnings raises serious sustainability concerns. Liquidity cleared: ~1.17M avg volume x $4.44 = $5.2M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Gray plays a predominantly finite game — aggressive debt-fueled station acquisitions ($5.8B in debt), a dual-class share structure concentrating control with the Howell family, flat dividends since 2021 reinstatement, and employee dissatisfaction (56% recommend rate) reflect empire building and control preservation over sustainable value creation [3][5]. While the 130+ year history and commitment to local journalism suggest some long-term orientation, the company lacks a compelling vision for how local media evolves in a digital-first world and optimizes for scale rather than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Serving local communities through journalism is a worthy purpose, but Gray articulates it in generic terms indistinguishable from any broadcaster [4]. The company has not demonstrated how this cause shapes strategic decisions beyond acquiring more stations to increase market reach. The dual-class share structure prioritizes founder-family control over inclusive governance, and CEO Howell's public statements focus on operational execution and market scale — 'decisive, innovative, and agile' — rather than advancing a vision of how local media improves communities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feedback reveals significant trust deficits. Approximately 3.0/5 ratings with only 56% recommending working at Gray, and executive team scoring in the bottom 35% of comparable companies [3]. Common complaints cite below-market pay, outdated technology, frequent layoffs, and HR unresponsiveness — indicators of frontline staff feeling underinvested in and unheard. The DEI Task Force and Board ESG oversight have not translated to measurably improved employee sentiment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using rivalry as motivation for self-improvement. Gray's competitive language and strategy emphasize market dominance through scale — becoming the largest station operator by market count — rather than learning from digital-native rivals or streaming platforms [1]. The acquisition-driven growth strategy is fundamentally about accumulating assets, a finite game approach to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Gray has shown some strategic flexibility by launching a streaming structure (January 2026), expanding Gray Digital Media, entering production services, and searching for a Chief Innovation Officer to drive digital transformation [3]. However, the $5.8B debt load from station acquisitions severely constrains strategic flexibility — the company cannot easily invest in new verticals or pivot from traditional broadcasting while servicing this debt obligation against a ~$457M market cap [5].</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Being the first broadcaster to publish generative AI guidelines demonstrates thought leadership on a critical industry issue [3]. CEO Howell's 17-year tenure provides leadership continuity, and the Q2 2026 strategic acquisitions (14 stations, 4 new markets) show willingness to invest through uncertain times [1]. However, the dual-class share structure, flat dividend since 2021, and accumulation of $5.8B in acquisition debt suggest leadership prioritizes empire building and control preservation over sustainable stakeholder value creation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Gray Media is one of the largest U.S. local TV station operators (113 markets, 36% household reach) trading at a deeply depressed $4.44/share with a 7.2% dividend yield, offering contrarian investors a leveraged bet on local media durability and 2026 election-year political advertising [1][5]. Q2 2026 revenue surged 9% YoY driven by political advertising increases of $91M (+414%) and successful integration of recently acquired stations [1]. All retransmission contracts are secured through 2027, providing revenue visibility on that critical income stream. Trailing 12-month revenue of $3.15B dwarfs the ~$457M market cap, and the stock trades at approximately 0.15x revenue. If political advertising remains robust through the November 2026 cycle, H2 2026 could generate substantial cash flow for deleveraging [1].</w:t>
      </w:r>
    </w:p>
    <w:p>
      <w:pPr>
        <w:spacing w:after="120"/>
      </w:pPr>
      <w:r>
        <w:rPr>
          <w:rFonts w:ascii="Calibri" w:hAnsi="Calibri"/>
          <w:b w:val="0"/>
          <w:color w:val="3A4A28"/>
          <w:sz w:val="20"/>
        </w:rPr>
        <w:t>The bear case is severe and potentially existential. Gray carries approximately $5.8B in debt against a ~$457M market cap — a roughly 13:1 leverage ratio that creates existential risk if advertising markets weaken or cord-cutting accelerates beyond expectations [5]. The company now reports negative profitability (profit margin -0.83%, ROE -0.94%, forward P/E -6.34), and the flat $0.32/year dividend since 2021 reinstatement with zero growth is unsustainable against negative earnings [5]. Q1 2026 revenue declined 1.8% YoY excluding political tailwinds, confirming that core advertising demand remains under pressure [2]. The broadcast TV industry faces secular headwinds from streaming, digital advertising migration, and younger demographics abandoning linear TV — trends that AI-powered content discovery platforms only accelerate. Employee satisfaction is poor (56% recommend rate, bottom-35% executive ratings) for a company that depends on journalist quality [3]. The dual-class share structure insulates leadership from shareholder accountability despite deteriorating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election cycle driving political advertising surge — Q2 2026 political revenue already up $91M (+414%), with November midterms expected to generate peak political ad spending in H2 2026 [1]</w:t>
      </w:r>
    </w:p>
    <w:p>
      <w:pPr>
        <w:spacing w:before="40" w:after="40"/>
        <w:ind w:left="283"/>
      </w:pPr>
      <w:r>
        <w:rPr>
          <w:rFonts w:ascii="Calibri" w:hAnsi="Calibri"/>
          <w:b/>
          <w:color w:val="4A6B25"/>
          <w:sz w:val="20"/>
        </w:rPr>
        <w:t xml:space="preserve">2. </w:t>
      </w:r>
      <w:r>
        <w:rPr>
          <w:rFonts w:ascii="Calibri" w:hAnsi="Calibri"/>
          <w:b w:val="0"/>
          <w:color w:val="3A4A28"/>
          <w:sz w:val="20"/>
        </w:rPr>
        <w:t>Retransmission consent contracts all secured through 2027, providing stable revenue visibility on a foundational income stream that supports debt service [1]</w:t>
      </w:r>
    </w:p>
    <w:p>
      <w:pPr>
        <w:spacing w:before="40" w:after="40"/>
        <w:ind w:left="283"/>
      </w:pPr>
      <w:r>
        <w:rPr>
          <w:rFonts w:ascii="Calibri" w:hAnsi="Calibri"/>
          <w:b/>
          <w:color w:val="4A6B25"/>
          <w:sz w:val="20"/>
        </w:rPr>
        <w:t xml:space="preserve">3. </w:t>
      </w:r>
      <w:r>
        <w:rPr>
          <w:rFonts w:ascii="Calibri" w:hAnsi="Calibri"/>
          <w:b w:val="0"/>
          <w:color w:val="3A4A28"/>
          <w:sz w:val="20"/>
        </w:rPr>
        <w:t>Station acquisitions in 14 existing markets and 4 new markets expanding household reach and revenue scale, potentially improving operating leverage if integration succeeds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with ~$5.8B debt vs. ~$457M market cap creates existential solvency risk — any sustained advertising downturn could threaten debt covenants, dividend sustainability, and the company's ability to operate as a going concern [5]</w:t>
      </w:r>
    </w:p>
    <w:p>
      <w:pPr>
        <w:spacing w:before="40" w:after="40"/>
        <w:ind w:left="283"/>
      </w:pPr>
      <w:r>
        <w:rPr>
          <w:rFonts w:ascii="Calibri" w:hAnsi="Calibri"/>
          <w:b/>
          <w:color w:val="4A6B25"/>
          <w:sz w:val="20"/>
        </w:rPr>
        <w:t xml:space="preserve">2. </w:t>
      </w:r>
      <w:r>
        <w:rPr>
          <w:rFonts w:ascii="Calibri" w:hAnsi="Calibri"/>
          <w:b w:val="0"/>
          <w:color w:val="3A4A28"/>
          <w:sz w:val="20"/>
        </w:rPr>
        <w:t>Negative profitability (profit margin -0.83%, ROE -0.94%, forward P/E -6.34) signals the business is not generating returns on its massive capital base, and the flat $0.32/year dividend is unsustainable against negative earnings [5]</w:t>
      </w:r>
    </w:p>
    <w:p>
      <w:pPr>
        <w:spacing w:before="40" w:after="40"/>
        <w:ind w:left="283"/>
      </w:pPr>
      <w:r>
        <w:rPr>
          <w:rFonts w:ascii="Calibri" w:hAnsi="Calibri"/>
          <w:b/>
          <w:color w:val="4A6B25"/>
          <w:sz w:val="20"/>
        </w:rPr>
        <w:t xml:space="preserve">3. </w:t>
      </w:r>
      <w:r>
        <w:rPr>
          <w:rFonts w:ascii="Calibri" w:hAnsi="Calibri"/>
          <w:b w:val="0"/>
          <w:color w:val="3A4A28"/>
          <w:sz w:val="20"/>
        </w:rPr>
        <w:t>Secular decline of linear TV broadcasting as cord-cutting accelerates and AI-powered digital platforms capture advertising budgets, threatening Gray's core business model regardless of election-cycle tailwinds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Local TV broadcasting possesses meaningful defensive moats against direct AI disruption — FCC spectrum licenses, retransmission consent agreements (all secured through 2027), physical broadcast tower infrastructure, and local journalist relationships create regulatory and physical barriers that AI structurally cannot replicate [3]. Local weather, breaking news, sports, and community events require physical presence and community trust that AI-generated content cannot substitute. However, AI-powered digital platforms (Google Discover, Apple News, TikTok) accelerate viewership erosion, and programmatic AI-driven advertising targeting shifts budgets from linear TV to digital channels, intensifying the secular decline of broadcast advertising revenue [1]. The bigger threat is not AI replacing local news but AI accelerating the digital advertising shift that erodes Gray's core revenue model. AI Opportunity (0/1): No quantifiable AI revenue or AI-driven cost savings reported. Gray's AI guidelines and AI Policy Committee represent governance and content integrity measures, not monetization — the company explicitly positions AI as a risk to manage rather than a revenue opportunity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Gray Media Q2 2026 Earnings — Revenue up 9% YoY, Political Advertising +$91M (+414%), 14 Station Acquisitions, 4 New Markets, TheDesk/Yahoo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Gray Media Q1 2026 Earnings — Revenue $768M (-1.8% YoY), Adjusted EBITDA $154M, SEC 8-K Filing, May 2026</w:t>
      </w:r>
    </w:p>
    <w:p>
      <w:pPr>
        <w:spacing w:before="20" w:after="20"/>
        <w:ind w:left="170"/>
      </w:pPr>
      <w:r>
        <w:rPr>
          <w:rFonts w:ascii="Calibri" w:hAnsi="Calibri"/>
          <w:b/>
          <w:color w:val="4A6B25"/>
          <w:sz w:val="15"/>
        </w:rPr>
        <w:t xml:space="preserve">3. </w:t>
      </w:r>
      <w:r>
        <w:rPr>
          <w:rFonts w:ascii="Calibri" w:hAnsi="Calibri"/>
          <w:b w:val="0"/>
          <w:color w:val="3A4A28"/>
          <w:sz w:val="17"/>
        </w:rPr>
        <w:t>Gray Media Leadership, AI Guidelines (First Broadcaster), CIO Search, SVP Lee Zurik — Company Website, TV Tech, Editor &amp; Publisher,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Gray Media ESG Report — Diversity Initiatives, DEI Task Force, Community Service Through Local Journalism, GlobeNewswire, March 2023</w:t>
      </w:r>
    </w:p>
    <w:p>
      <w:pPr>
        <w:spacing w:before="20" w:after="20"/>
        <w:ind w:left="170"/>
      </w:pPr>
      <w:r>
        <w:rPr>
          <w:rFonts w:ascii="Calibri" w:hAnsi="Calibri"/>
          <w:b/>
          <w:color w:val="4A6B25"/>
          <w:sz w:val="15"/>
        </w:rPr>
        <w:t xml:space="preserve">5. </w:t>
      </w:r>
      <w:r>
        <w:rPr>
          <w:rFonts w:ascii="Calibri" w:hAnsi="Calibri"/>
          <w:b w:val="0"/>
          <w:color w:val="3A4A28"/>
          <w:sz w:val="17"/>
        </w:rPr>
        <w:t>Yahoo Finance — GTN Key Statistics: Forward P/E -6.34x, ROE -0.94%, D/E 215.8%, Profit Margin -0.83%, Stock Price $4.44, Dividend Yield 7.2%,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