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GVH</w:t>
      </w:r>
      <w:r>
        <w:rPr>
          <w:rFonts w:ascii="Calibri" w:hAnsi="Calibri"/>
          <w:b/>
          <w:color w:val="1A2010"/>
          <w:sz w:val="40"/>
        </w:rPr>
        <w:t xml:space="preserve">  Globavend Holdings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Integrated Freight &amp; Logistics · NASDAQ · Hong Kong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Globavend Holdings Limited is an emerging cross-border e-commerce logistics provider offering integrated parcel consolidation, air freight forwarding, customs clearance and last-mile delivery across Hong Kong, Australia and New Zealand, which has recently diversified into a digital entertainment business (Loomi Group) alongside its core logistics operations.</w:t>
      </w:r>
    </w:p>
    <w:p>
      <w:r>
        <w:rPr>
          <w:rFonts w:ascii="Calibri" w:hAnsi="Calibri"/>
          <w:b/>
          <w:color w:val="6E8450"/>
          <w:sz w:val="18"/>
        </w:rPr>
        <w:t>https://ir.globavend.com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Core logistics operations show real volume growth (average daily parcel handling up 69.4% in FY2025) but the business is a commoditized freight-forwarding model with limited proprietary technology[1]. The May 2026 move into 'AI-driven entertainment' via the Loomi Group unit, led by an executive from an unrelated imaging-technology background, reads as opportunistic diversification rather than a coherent innovation strategy building on the company's logistics competency[2].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An April 2026 change-of-control transaction concentrated 97.7% of voting power with a new controlling shareholder group while retaining the existing CEO, structurally marginalizing minority shareholders under Nasdaq's 'controlled company' exemptions[3]. Rosen Law Firm has separately publicized a securities class action investigation into the company, and no offsetting evidence of community impact, retention data, or insider buying was found[3].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balance sheet is genuinely light on leverage (debt-to-equity of just 0.44%) and FY2025 revenue grew 42.5% to $23.6M, though growth decelerated sharply to 8.0% in 1H FY2026 ($14.8M) alongside a swing to a small net loss of $30,887 on higher freight costs and elevated corporate expenditures[1]. Profitability is thin (profit margin 0.8%, ROE 2.5%), leaving the mechanical infrastructure score moderate rather than strong despite low debt.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Globavend's 2025-2026 corporate actions — a 1-for-200 reverse split to avoid delisting, a change-of-control transaction concentrating 97.7% of voting power, a pending securities class-action investigation, and an unrelated diversification into entertainment — collectively signal a company managing short-term survival and control rather than playing a long-horizon game[2][3].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broader stated cause is evident; recent moves (reverse split, control change, entertainment pivot) are defensive/opportunistic rather than mission-driven[3].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April 2026 concentration of 97.7% voting power in a new controlling shareholder group, combined with a pending Rosen Law Firm securities investigation, undercuts confidence in equitable treatment of minority stakeholders[3].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Competes with numerous regional cross-border parcel consolidators and freight forwarders in Hong Kong/Australia/New Zealand without a clearly differentiated position.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pivot into digital entertainment (Loomi Group) is diversification away from, rather than adaptation of, the core logistics competency, suggesting reactive capital allocation rather than deliberate strategic evolution[2].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Leadership executed a 1-for-200 reverse stock split to maintain Nasdaq listing and ceded majority control to a new shareholder group, actions oriented toward listing survival rather than bold long-term vision[3].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Globavend is a small-cap cross-border e-commerce logistics operator that grew FY2025 revenue 42.5% to $23.6M on rising parcel volumes, with a lightly levered balance sheet (0.44% debt-to-equity)[1]. Growth decelerated sharply to 8% in 1H FY2026 alongside a small net loss, and the company has layered on an unrelated 'AI-driven entertainment' business (Loomi Group) that appears more opportunistic than strategic[1][2].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larger concern is governance: an April 2026 transaction concentrated 97.7% of voting power with a new controlling shareholder while keeping the incumbent CEO, Nasdaq minimum bid-price compliance issues forced a 1-for-200 reverse split, and Rosen Law Firm has publicized a securities class-action investigation into the company[2][3]. This is a SELL — the combination of governance concentration, pending litigation risk, decelerating core growth, and unrelated diversification outweighs the logistics business's underlying volume growth.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Stabilization of core logistics revenue growth back toward FY2025's 42% pace[1]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Resolution of the securities class-action investigation without material findings[3]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Loomi Group entertainment unit proving additive rather than a distraction from core logistics[2]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97.7% voting power concentrated with a new controlling shareholder, marginalizing minority holders[3]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Pending Rosen Law Firm securities class-action investigation[3]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1-for-200 reverse stock split executed to maintain Nasdaq listing signals fragile capital structure[3]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Revenue growth decelerated from 42.5% (FY2025) to 8.0% (1H FY2026) alongside a swing to net loss[1]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5. </w:t>
      </w:r>
      <w:r>
        <w:rPr>
          <w:rFonts w:ascii="Calibri" w:hAnsi="Calibri"/>
          <w:b w:val="0"/>
          <w:color w:val="3A4A28"/>
          <w:sz w:val="20"/>
        </w:rPr>
        <w:t>Unrelated diversification into digital entertainment dilutes management focus on core logistics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Route optimization and customs-automation AI tools could meaningfully benefit a cross-border logistics operator, but Globavend has shown no disclosed AI adoption within its core freight business itself[1]. The company's only AI-labeled initiative is the unrelated Loomi 'AI-driven entertainment' unit acquired via an executive hire from a digital-imaging background, which looks more like opportunistic branding than a substantive AI resilience strategy for the logistics core[2].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Globavend Holdings FY2025 and 1H FY2026 earnings releases via GlobeNewswire/StockTitan,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Globavend Welcomes Pictureworks CEO to Lead Its AI-Driven Entertainment Business, GlobeNewswire,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Globavend Announces New Controlling Shareholder and Changes in Board Composition, GlobeNewswire/StockTitan, and Nasdaq compliance/reverse-split coverage,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