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HAL</w:t>
      </w:r>
      <w:r>
        <w:rPr>
          <w:rFonts w:ascii="Calibri" w:hAnsi="Calibri"/>
          <w:b/>
          <w:color w:val="1A2010"/>
          <w:sz w:val="40"/>
        </w:rPr>
        <w:t xml:space="preserve">  Halliburton Company</w:t>
      </w:r>
    </w:p>
    <w:p>
      <w:pPr>
        <w:spacing w:after="120"/>
      </w:pPr>
      <w:r>
        <w:rPr>
          <w:rFonts w:ascii="Calibri" w:hAnsi="Calibri"/>
          <w:b/>
          <w:color w:val="6E8450"/>
          <w:sz w:val="18"/>
        </w:rPr>
        <w:t>DIVIDEND SLEEVE · 2026-10-04 · Inspire: 38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Equipment &amp; Services · NYQ · United States</w:t>
      </w:r>
    </w:p>
    <w:p>
      <w:pPr>
        <w:spacing w:after="80"/>
      </w:pPr>
      <w:r>
        <w:rPr>
          <w:rFonts w:ascii="Calibri" w:hAnsi="Calibri"/>
          <w:b w:val="0"/>
          <w:color w:val="3A4A28"/>
          <w:sz w:val="20"/>
        </w:rPr>
        <w:t>Halliburton is one of the world's largest oilfield services companies, providing products and services for drilling, evaluation, completion, production, and reservoir optimization across the global energy industry. Led by CEO Jeff Miller since 2017, the company operates in over 70 countries with approximately 46,000 employees. Q2 2026 revenue was $5.7B (+4% YoY) with international revenue of $3.4B — the highest Q2 international revenue in over a decade. TTM revenue is approximately $22.2B with a $26.5B market cap.</w:t>
      </w:r>
    </w:p>
    <w:p>
      <w:r>
        <w:rPr>
          <w:rFonts w:ascii="Calibri" w:hAnsi="Calibri"/>
          <w:b/>
          <w:color w:val="6E8450"/>
          <w:sz w:val="18"/>
        </w:rPr>
        <w:t>46,000 Employees · https://www.halliburton.com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Halliburton has incrementally expanded its digital portfolio with the iCruise intelligent rotary steerable system, ZEUS IQ fracturing platform, and LOGIX automation suite over the past five years [1]. However, the company remains fundamentally the same oilfield services business with no transformative pivot or new revenue stream. AI Deployment (1/2): Halliburton ships AI-powered products to customers including DecisionSpace 365 for real-time reservoir management, Prodigi automated fracturing system, and a partnership with AIQ and ADNOC for the world's first AI-enabled drilling technology [2]. CEO Miller described data as a 'strategic asset' and emphasized connecting data, AI, and automation to reduce risk and improve consistency. Market Share (1/2): Halliburton is the #2 global oilfield services company behind SLB, with strong positions in North America completions and international drilling. Q2 2026 international revenue of $3.4B (+6% YoY) was the highest Q2 international figure in over a decade [1]. Product Pipeline (1/2): Continuous development of drilling automation and digital solutions, but specific next-gen products with named launch timelines and revenue visibility are not publicly disclosed beyond current offerings [2]. R&amp;D Intensity (0/1): R&amp;D spending at approximately 1.5% of revenue is below industry average for technology-driven companies, reflecting an operational services model.</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Halliburton's purpose — 'creating sustainable value by driving innovation, efficiency, and sustainability to maximize asset value of the global energy industry' — is clear about what the company does but not distinctive or inspiring beyond the obvious [2]. The mission could apply to any oilfield services peer and does not articulate a deeper purpose beyond serving energy customers efficiently. Community Impact (1/2): Halliburton integrated ESG metrics into 20% of executive annual incentive compensation covering GHG emissions and diversity, and committed to science-based targets for 40% Scope 1&amp;2 emissions reduction by 2035 [3]. Board's Nominating and Governance Committee provides ESG oversight. However, no distinctive community investment programs or specific dollar amounts were identified. Employee Retention (0/2): Glassdoor reviews reveal cultural concerns including 'quiet compliance' culture where employees stay 10+ years for pay and brand safety but are 'hesitant to challenge unfair treatment or speak up about toxic behavior' [2]. Only 67% of employees would recommend Halliburton to a friend, below industry average. Insider Buying (0/2): No evidence of meaningful net insider buying by Jeff Miller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Halliburton benefits from a deeply attractive Forward P/E of 11.0x (score 1.0, well below the 20x target) and a conservative payout ratio of 35.6% (score 1.0) [1]. D/E of 74.2% is slightly above the 70% target (score 0.98), and ROE of 14.9% nearly matches the 15% target (score 0.99). The 5-year dividend growth CAGR of approximately 16.6% scores perfectly (2x weight), reflecting the rapid rebuild from the 2020 cut base ($0.315/yr to $0.68/yr), and 50+ consecutive years of dividend payments also score 1.0 (2x weight). Revenue growth metrics are modest: 3.7% YoY and ~9% 5yr CAGR reflect a maturing oilfield cycle [1]. The primary drag is thin profit margin of 7.2% (score 0.36 vs 20% target), reflecting the structurally low-margin nature of oilfield services. Consecutive years of dividend growth = 0, as the dividend has been flat at $0.17/qtr since 2024. Liquidity is ample at $355M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Halliburton under Jeff Miller plays a predominantly finite game — the company is focused on quarterly earnings delivery, shareholder returns, and market share competition rather than advancing a Just Cause transcending quarterly results. Cultural issues flagged in employee reviews suggest a low-trust environment prioritizing results over people. While the company demonstrates some strategic flexibility through digital transformation and AI adoption, these are incremental adaptations rather than purpose-driven transformations.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Halliburton's purpose — 'creating sustainable value by driving innovation, efficiency, and sustainability to maximize asset value of the global energy industry' — reads as corporate boilerplate interchangeable with any oilfield services peer [2]. Jeff Miller's earnings commentary consistently frames the mission around returns, capital discipline, and shareholder value rather than a vision of a better future. Strategic decisions appear driven by market conditions and financial returns rather than a guiding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describe a culture of 'quiet compliance' where employees stay 10+ years for pay and brand safety but are hesitant to challenge unfair treatment [2]. Only 67% would recommend the company to a friend, below industry average. Some reviews cite toxic management and merit-disconnected advancement driven by personal relationships rather than performance. The company's own risk disclosures acknowledge intense competition for talent and high turnover as execution risks. This is far from Sinek's Circle of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Halliburton's competitive language focuses on winning contracts, gaining market share, and outperforming SLB and Baker Hughes. Miller's earnings commentary frames international growth in terms of 'winning' and market position rather than learning from competitors' strengths [1]. Competitive strategy appears focused on market dominance rather than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Halliburton has evolved incrementally — expanding into digital and AI-powered services, building technology platforms like DecisionSpace 365, and applying capabilities to new energy projects [2]. The digital transformation represents meaningful adaptation. However, the company has not fundamentally reinvented itself — it remains the same oilfield services business serving the same customers with enhanced versions of the same services.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Jeff Miller demonstrated discipline during the 2020 oil price collapse by reducing costs by $1B+ while maintaining operational capability rather than pursuing destructive cuts [1]. Investment in digital and AI capabilities (DecisionSpace 365, Prodigi) during uncertain market conditions shows willingness to prioritize long-term capability. However, the dividend was cut from $0.72 to $0.18 in 2020 and slowly rebuilt over four years, suggesting financial self-preservation over stakeholder commitment.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Halliburton at $31.85 with 11.0x forward earnings and a PEG of 0.66 offers deep value exposure to a recovering international oilfield services cycle — Q2 2026 revenue of $5.7B (+4% YoY) featured the highest Q2 international revenue in over a decade at $3.4B (+6% YoY), driven by Latin America strength and Middle East activity [1]. Completion and Production revenue grew 6% sequentially with operating income up 8%, signaling improving profitability. Free cash flow supports a 2.1% dividend yield with a conservative 35.6% payout ratio. The company's AI-powered digital platforms (DecisionSpace 365, Prodigi, ADNOC partnership) create service differentiation and margin expansion opportunities [2]. The Inspire Impact Score of 38 (ALIGNED) makes Halliburton one of the better-scoring energy companies for faith-based investors.</w:t>
      </w:r>
    </w:p>
    <w:p>
      <w:pPr>
        <w:spacing w:after="120"/>
      </w:pPr>
      <w:r>
        <w:rPr>
          <w:rFonts w:ascii="Calibri" w:hAnsi="Calibri"/>
          <w:b w:val="0"/>
          <w:color w:val="3A4A28"/>
          <w:sz w:val="20"/>
        </w:rPr>
        <w:t>The bear case centers on cycle risk, thin margins, and organizational culture. Profit margin of 7.2% and ROE of 14.9% are structurally low for oilfield services and leave minimal buffer in a downturn — any OPEC+ production increases or oil price weakness could compress margins further [1]. TTM revenue of ~$22.2B is flat to slightly down from 2024 levels (~$22.9B), and the 3.7% quarterly growth rate is decelerating from 39%+ seen in 2022, suggesting diminishing returns from the post-COVID recovery cycle. Glassdoor reviews describing 'quiet compliance' culture and the company's disclosures of high turnover risk signal organizational dysfunction that could impair execution and innovation [2]. The 5-year dividend growth CAGR of ~16.6% is misleading — it reflects recovery from a near-zero post-2020 cut base rather than genuine compounding, and the payout has been flat since 2024. Management expects only mid- to high single-digit revenue growth for 2026, well below the pace needed to drive meaningful multiple expansion.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International revenue growth acceleration — Q2 2026 international revenue of $3.4B (+6% YoY) was the highest Q2 figure in over a decade, with management guiding for mid- to high single-digit 2026 revenue growth driven by Latin America and recovering Middle East activity [1]</w:t>
      </w:r>
    </w:p>
    <w:p>
      <w:pPr>
        <w:spacing w:before="40" w:after="40"/>
        <w:ind w:left="283"/>
      </w:pPr>
      <w:r>
        <w:rPr>
          <w:rFonts w:ascii="Calibri" w:hAnsi="Calibri"/>
          <w:b/>
          <w:color w:val="4A6B25"/>
          <w:sz w:val="20"/>
        </w:rPr>
        <w:t xml:space="preserve">2. </w:t>
      </w:r>
      <w:r>
        <w:rPr>
          <w:rFonts w:ascii="Calibri" w:hAnsi="Calibri"/>
          <w:b w:val="0"/>
          <w:color w:val="3A4A28"/>
          <w:sz w:val="20"/>
        </w:rPr>
        <w:t>AI and digital services margin expansion — DecisionSpace 365, Prodigi, and the ADNOC AI-enabled drilling partnership position Halliburton to command premium pricing in technology-differentiated oilfield services as the industry shifts toward automation [2]</w:t>
      </w:r>
    </w:p>
    <w:p>
      <w:pPr>
        <w:spacing w:before="40" w:after="40"/>
        <w:ind w:left="283"/>
      </w:pPr>
      <w:r>
        <w:rPr>
          <w:rFonts w:ascii="Calibri" w:hAnsi="Calibri"/>
          <w:b/>
          <w:color w:val="4A6B25"/>
          <w:sz w:val="20"/>
        </w:rPr>
        <w:t xml:space="preserve">3. </w:t>
      </w:r>
      <w:r>
        <w:rPr>
          <w:rFonts w:ascii="Calibri" w:hAnsi="Calibri"/>
          <w:b w:val="0"/>
          <w:color w:val="3A4A28"/>
          <w:sz w:val="20"/>
        </w:rPr>
        <w:t>Valuation compression opportunity — PEG of 0.66 and forward P/E of 11.0x with 16.1% earnings growth suggest significant upside if the market rerates Halliburton from cyclical discount to technology-enabled services premium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Oil price volatility and OPEC+ production decisions — increased OPEC+ supply or global economic slowdown could reduce upstream capex budgets, compressing the thin 7.2% profit margin, particularly in the already-flat North America market [1]</w:t>
      </w:r>
    </w:p>
    <w:p>
      <w:pPr>
        <w:spacing w:before="40" w:after="40"/>
        <w:ind w:left="283"/>
      </w:pPr>
      <w:r>
        <w:rPr>
          <w:rFonts w:ascii="Calibri" w:hAnsi="Calibri"/>
          <w:b/>
          <w:color w:val="4A6B25"/>
          <w:sz w:val="20"/>
        </w:rPr>
        <w:t xml:space="preserve">2. </w:t>
      </w:r>
      <w:r>
        <w:rPr>
          <w:rFonts w:ascii="Calibri" w:hAnsi="Calibri"/>
          <w:b w:val="0"/>
          <w:color w:val="3A4A28"/>
          <w:sz w:val="20"/>
        </w:rPr>
        <w:t>Workplace culture and talent retention — Glassdoor's 67% recommendation rate with reports of 'quiet compliance,' toxic management, and merit-disconnected advancement suggest organizational dysfunction that could impair execution in an increasingly AI-competitive labor market [2]</w:t>
      </w:r>
    </w:p>
    <w:p>
      <w:pPr>
        <w:spacing w:before="40" w:after="40"/>
        <w:ind w:left="283"/>
      </w:pPr>
      <w:r>
        <w:rPr>
          <w:rFonts w:ascii="Calibri" w:hAnsi="Calibri"/>
          <w:b/>
          <w:color w:val="4A6B25"/>
          <w:sz w:val="20"/>
        </w:rPr>
        <w:t xml:space="preserve">3. </w:t>
      </w:r>
      <w:r>
        <w:rPr>
          <w:rFonts w:ascii="Calibri" w:hAnsi="Calibri"/>
          <w:b w:val="0"/>
          <w:color w:val="3A4A28"/>
          <w:sz w:val="20"/>
        </w:rPr>
        <w:t>Oilfield services cycle maturation — TTM revenue of ~$22.2B is flat to down from 2024, and management's mid- to high single-digit growth guidance suggests the post-COVID super-cycle has peaked, with decelerating returns limiting upside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Halliburton's core business involves physical-world operations — drilling wells, fracturing formations, deploying downhole equipment, and maintaining production infrastructure — that AI structurally cannot displace [1]. The company's value proposition requires boots-on-the-ground crews, heavy equipment, proprietary chemicals, and on-site engineering across 70+ countries. AI is overwhelmingly an enabler for Halliburton rather than a threat, enhancing drilling precision (iCruise), optimizing fracturing operations (Prodigi), and improving reservoir management (DecisionSpace 365) [2]. Analysts do not flag AI as a substitution risk; AI-driven efficiency is a competitive differentiator commanding premium pricing. Some exposure exists in engineering advisory services where AI could reduce headcount needs, but this is a small fraction of revenue. AI Opportunity (1/1): Halliburton generates quantifiable AI-related revenue through its AI-powered product suite including DecisionSpace 365, Prodigi automated fracturing, and the ADNOC AI-enabled drilling partnership — the world's first AI-enabled technology implementation in upstream operations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Halliburton Q2 2026 Earnings — Revenue $5.7B (+4% YoY), International Revenue $3.4B (+6%), C&amp;P Revenue $3.2B (+6% seq), Operating Income +8% seq, Mid-to-high single-digit 2026 growth guidance — SEC 8-K, GuruFocus, Yahoo Finance, July 2026</w:t>
      </w:r>
    </w:p>
    <w:p>
      <w:pPr>
        <w:spacing w:before="20" w:after="20"/>
        <w:ind w:left="170"/>
      </w:pPr>
      <w:r>
        <w:rPr>
          <w:rFonts w:ascii="Calibri" w:hAnsi="Calibri"/>
          <w:b/>
          <w:color w:val="4A6B25"/>
          <w:sz w:val="15"/>
        </w:rPr>
        <w:t xml:space="preserve">2. </w:t>
      </w:r>
      <w:r>
        <w:rPr>
          <w:rFonts w:ascii="Calibri" w:hAnsi="Calibri"/>
          <w:b w:val="0"/>
          <w:color w:val="3A4A28"/>
          <w:sz w:val="17"/>
        </w:rPr>
        <w:t>Halliburton Leadership, AI &amp; Culture — CEO Jeff Miller (since 2017), DecisionSpace 365, Prodigi, ADNOC AI drilling partnership, Landmark Innovation Forum, Glassdoor 67% recommend — Halliburton.com, Comparably, Glassdoor, 2025-2026</w:t>
      </w:r>
    </w:p>
    <w:p>
      <w:pPr>
        <w:spacing w:before="20" w:after="20"/>
        <w:ind w:left="170"/>
      </w:pPr>
      <w:r>
        <w:rPr>
          <w:rFonts w:ascii="Calibri" w:hAnsi="Calibri"/>
          <w:b/>
          <w:color w:val="4A6B25"/>
          <w:sz w:val="15"/>
        </w:rPr>
        <w:t xml:space="preserve">3. </w:t>
      </w:r>
      <w:r>
        <w:rPr>
          <w:rFonts w:ascii="Calibri" w:hAnsi="Calibri"/>
          <w:b w:val="0"/>
          <w:color w:val="3A4A28"/>
          <w:sz w:val="17"/>
        </w:rPr>
        <w:t>Halliburton ESG — Sustainalytics ESG Risk Score 28 (Moderate), 40% Scope 1&amp;2 reduction target by 2035, ESG metrics in 20% of executive comp — Yahoo Finance, SEC DEF 14A, Halliburton Sustainability Report, 2023-2026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