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drawing>
          <wp:inline xmlns:a="http://schemas.openxmlformats.org/drawingml/2006/main" xmlns:pic="http://schemas.openxmlformats.org/drawingml/2006/picture">
            <wp:extent cx="1371600" cy="723227"/>
            <wp:docPr id="1" name="Picture 1"/>
            <wp:cNvGraphicFramePr>
              <a:graphicFrameLocks noChangeAspect="1"/>
            </wp:cNvGraphicFramePr>
            <a:graphic>
              <a:graphicData uri="http://schemas.openxmlformats.org/drawingml/2006/picture">
                <pic:pic>
                  <pic:nvPicPr>
                    <pic:cNvPr id="0" name="image.png"/>
                    <pic:cNvPicPr/>
                  </pic:nvPicPr>
                  <pic:blipFill>
                    <a:blip r:embed="rId9"/>
                    <a:stretch>
                      <a:fillRect/>
                    </a:stretch>
                  </pic:blipFill>
                  <pic:spPr>
                    <a:xfrm>
                      <a:off x="0" y="0"/>
                      <a:ext cx="1371600" cy="723227"/>
                    </a:xfrm>
                    <a:prstGeom prst="rect"/>
                  </pic:spPr>
                </pic:pic>
              </a:graphicData>
            </a:graphic>
          </wp:inline>
        </w:drawing>
      </w:r>
    </w:p>
    <w:p>
      <w:pPr>
        <w:spacing w:before="120" w:after="40"/>
      </w:pPr>
      <w:r>
        <w:rPr>
          <w:rFonts w:ascii="Calibri" w:hAnsi="Calibri"/>
          <w:b/>
          <w:color w:val="4A6B25"/>
          <w:sz w:val="56"/>
        </w:rPr>
        <w:t>HASI</w:t>
      </w:r>
      <w:r>
        <w:rPr>
          <w:rFonts w:ascii="Calibri" w:hAnsi="Calibri"/>
          <w:b/>
          <w:color w:val="1A2010"/>
          <w:sz w:val="40"/>
        </w:rPr>
        <w:t xml:space="preserve">  HA Sustainable Infrastructure Capital, Inc.</w:t>
      </w:r>
    </w:p>
    <w:p>
      <w:pPr>
        <w:spacing w:after="120"/>
      </w:pPr>
      <w:r>
        <w:rPr>
          <w:rFonts w:ascii="Calibri" w:hAnsi="Calibri"/>
          <w:b/>
          <w:color w:val="6E8450"/>
          <w:sz w:val="18"/>
        </w:rPr>
        <w:t>DIVIDEND SLEEVE · 2026-09-30 · Inspire: 74 · MIXED</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1200" w:type="dxa"/>
      </w:tblPr>
      <w:tblGrid>
        <w:gridCol w:w="10800"/>
      </w:tblGrid>
      <w:tr>
        <w:tc>
          <w:tcPr>
            <w:tcW w:type="dxa" w:w="10800"/>
            <w:shd w:fill="E3F2FD" w:val="clear"/>
          </w:tcPr>
          <w:p>
            <w:pPr>
              <w:spacing w:before="40" w:after="40"/>
              <w:jc w:val="center"/>
            </w:pPr>
            <w:r>
              <w:rPr>
                <w:rFonts w:ascii="Calibri" w:hAnsi="Calibri"/>
                <w:b/>
                <w:color w:val="2563EB"/>
                <w:sz w:val="20"/>
              </w:rPr>
              <w:t>WATCH</w:t>
            </w:r>
          </w:p>
        </w:tc>
      </w:tr>
    </w:tbl>
    <w:p>
      <w:pPr>
        <w:spacing w:before="120" w:after="200"/>
      </w:pPr>
      <w:r>
        <w:rPr>
          <w:rFonts w:ascii="Calibri" w:hAnsi="Calibri"/>
          <w:b/>
          <w:color w:val="1A2010"/>
          <w:sz w:val="80"/>
        </w:rPr>
        <w:t>54</w:t>
      </w:r>
      <w:r>
        <w:rPr>
          <w:rFonts w:ascii="Calibri" w:hAnsi="Calibri"/>
          <w:b w:val="0"/>
          <w:color w:val="9DAF88"/>
          <w:sz w:val="28"/>
        </w:rPr>
        <w:t xml:space="preserve"> / </w:t>
      </w:r>
      <w:r>
        <w:rPr>
          <w:rFonts w:ascii="Calibri" w:hAnsi="Calibri"/>
          <w:b w:val="0"/>
          <w:color w:val="9DAF88"/>
          <w:sz w:val="24"/>
        </w:rPr>
        <w:t>100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COMPANY PROFILE</w:t>
            </w:r>
          </w:p>
        </w:tc>
      </w:tr>
    </w:tbl>
    <w:p>
      <w:r>
        <w:rPr>
          <w:rFonts w:ascii="Calibri" w:hAnsi="Calibri"/>
          <w:b/>
          <w:color w:val="6E8450"/>
          <w:sz w:val="18"/>
        </w:rPr>
        <w:t>Financial Services · Asset Management · NYSE · United States</w:t>
      </w:r>
    </w:p>
    <w:p>
      <w:pPr>
        <w:spacing w:after="80"/>
      </w:pPr>
      <w:r>
        <w:rPr>
          <w:rFonts w:ascii="Calibri" w:hAnsi="Calibri"/>
          <w:b w:val="0"/>
          <w:color w:val="3A4A28"/>
          <w:sz w:val="20"/>
        </w:rPr>
        <w:t>HA Sustainable Infrastructure Capital (formerly Hannon Armstrong) is the first U.S. public company solely dedicated to investments in climate solutions, managing over $16.4B in assets across energy efficiency, renewable energy, and sustainable infrastructure markets. Founded in 1981, the company invests in behind-the-meter distributed energy, grid-connected renewables (solar, solar-plus-storage, wind), and fuels/transport/nature projects including renewable natural gas and ecological restoration. The company operates as a specialty REIT and changed its name from Hannon Armstrong in June 2024. CEO Jeffrey Lipson leads since March 2023, with founder Jeff Eckel serving as Executive Chair.</w:t>
      </w:r>
    </w:p>
    <w:p>
      <w:r>
        <w:rPr>
          <w:rFonts w:ascii="Calibri" w:hAnsi="Calibri"/>
          <w:b/>
          <w:color w:val="6E8450"/>
          <w:sz w:val="18"/>
        </w:rPr>
        <w:t>170 Employees · https://www.hasi.com</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EXCELLENCE EVALUATION — THINK LIKE AN OWNER (50%)</w:t>
            </w:r>
          </w:p>
        </w:tc>
      </w:tr>
    </w:tbl>
    <w:p>
      <w:pPr>
        <w:spacing w:before="200" w:after="40"/>
      </w:pPr>
      <w:r>
        <w:rPr>
          <w:rFonts w:ascii="Calibri" w:hAnsi="Calibri"/>
          <w:b/>
          <w:color w:val="1A2010"/>
          <w:sz w:val="22"/>
        </w:rPr>
        <w:t>Innovation</w:t>
      </w:r>
      <w:r>
        <w:rPr>
          <w:rFonts w:ascii="Calibri" w:hAnsi="Calibri"/>
          <w:b w:val="0"/>
          <w:color w:val="1A2010"/>
          <w:sz w:val="22"/>
        </w:rPr>
        <w:t xml:space="preserve">  </w:t>
      </w:r>
      <w:r>
        <w:rPr>
          <w:rFonts w:ascii="Calibri" w:hAnsi="Calibri"/>
          <w:b/>
          <w:color w:val="DC2626"/>
          <w:sz w:val="16"/>
        </w:rPr>
        <w:t xml:space="preserve"> WEAK </w:t>
      </w:r>
    </w:p>
    <w:p>
      <w:pPr>
        <w:spacing w:before="0" w:after="40"/>
      </w:pPr>
      <w:r>
        <w:rPr>
          <w:rFonts w:ascii="Calibri" w:hAnsi="Calibri"/>
          <w:b/>
          <w:color w:val="DC2626"/>
          <w:sz w:val="28"/>
        </w:rPr>
        <w:t>2</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102"/>
            <w:shd w:fill="DC2626" w:val="clear"/>
          </w:tcPr>
          <w:p>
            <w:pPr>
              <w:spacing w:before="0" w:after="0"/>
            </w:pPr>
            <w:r>
              <w:rPr>
                <w:rFonts w:ascii="Calibri" w:hAnsi="Calibri"/>
                <w:b w:val="0"/>
                <w:color w:val="1A2010"/>
                <w:sz w:val="4"/>
              </w:rPr>
            </w:r>
          </w:p>
        </w:tc>
        <w:tc>
          <w:tcPr>
            <w:tcW w:type="dxa" w:w="4409"/>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Track Record (1/3): HASI has evolved from a niche energy efficiency lender to a broader climate solutions investment platform managing $16.4B in assets across renewables, RNG, transportation, and ecological restoration — a meaningful expansion of scope reflected in the June 2024 name change from Hannon Armstrong to HA Sustainable Infrastructure Capital [1]. However, the core business model (financing clean energy projects) has remained fundamentally the same. AI Deployment (0/2): No evidence of AI products shipping to customers or specific AI-driven operational efficiencies. The company's investment analysis and portfolio management remain traditional [2]. Market Share (1/2): HASI occupies a unique niche as the first and only U.S. public company solely dedicated to climate-positive investments, earning CDP 'A' score and ACORE Renewable Energy Leadership Award [2]. However, it competes with much larger infrastructure funds and banks in the broader renewable energy financing market. Product Pipeline (0/2): No next-generation products with specific timelines — the 'pipeline' consists of investment deals, which is normal course of business for a financial company [1]. R&amp;D Intensity (0/1): As a financial services company, HASI has no R&amp;D spending.</w:t>
      </w:r>
    </w:p>
    <w:p>
      <w:pPr>
        <w:spacing w:before="200" w:after="40"/>
      </w:pPr>
      <w:r>
        <w:rPr>
          <w:rFonts w:ascii="Calibri" w:hAnsi="Calibri"/>
          <w:b/>
          <w:color w:val="1A2010"/>
          <w:sz w:val="22"/>
        </w:rPr>
        <w:t>Inspiration</w:t>
      </w:r>
      <w:r>
        <w:rPr>
          <w:rFonts w:ascii="Calibri" w:hAnsi="Calibri"/>
          <w:b w:val="0"/>
          <w:color w:val="1A2010"/>
          <w:sz w:val="22"/>
        </w:rPr>
        <w:t xml:space="preserve">  </w:t>
      </w:r>
      <w:r>
        <w:rPr>
          <w:rFonts w:ascii="Calibri" w:hAnsi="Calibri"/>
          <w:b/>
          <w:color w:val="B8860B"/>
          <w:sz w:val="16"/>
        </w:rPr>
        <w:t xml:space="preserve"> DEVELOPING </w:t>
      </w:r>
    </w:p>
    <w:p>
      <w:pPr>
        <w:spacing w:before="0" w:after="40"/>
      </w:pPr>
      <w:r>
        <w:rPr>
          <w:rFonts w:ascii="Calibri" w:hAnsi="Calibri"/>
          <w:b/>
          <w:color w:val="B8860B"/>
          <w:sz w:val="28"/>
        </w:rPr>
        <w:t>4</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2205"/>
            <w:shd w:fill="B8860B" w:val="clear"/>
          </w:tcPr>
          <w:p>
            <w:pPr>
              <w:spacing w:before="0" w:after="0"/>
            </w:pPr>
            <w:r>
              <w:rPr>
                <w:rFonts w:ascii="Calibri" w:hAnsi="Calibri"/>
                <w:b w:val="0"/>
                <w:color w:val="1A2010"/>
                <w:sz w:val="4"/>
              </w:rPr>
            </w:r>
          </w:p>
        </w:tc>
        <w:tc>
          <w:tcPr>
            <w:tcW w:type="dxa" w:w="3307"/>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Mission Floor (3/4): HASI's core purpose — making climate-positive investments with superior risk-adjusted returns — is specific, thoughtful, and genuinely differentiating, having been the company's guiding principle since its 1981 founding, long before ESG became a market trend [2]. The mission directly connects financial returns to environmental impact, and the CDP 'A' score, EPA ENERGY STAR Sustained Excellence Award, and Climate Group Climate Leadership Award validate that the purpose shapes real strategic decisions [2]. Community Impact (1/2): Every dollar HASI deploys inherently serves environmental benefit through clean energy project financing. The company has received ACORE leadership recognition and Bloomberg Gender Equality Index inclusion [2]. However, no specific community program dollar amounts or distinctive charitable initiatives were identified. Employee Retention (0/2): With 170 employees, no meaningful retention or tenure data is publicly available. Insider Buying (0/2): No evidence of meaningful net insider buying by executives was identified in public filings.</w:t>
      </w:r>
    </w:p>
    <w:p>
      <w:pPr>
        <w:spacing w:before="200" w:after="40"/>
      </w:pPr>
      <w:r>
        <w:rPr>
          <w:rFonts w:ascii="Calibri" w:hAnsi="Calibri"/>
          <w:b/>
          <w:color w:val="1A2010"/>
          <w:sz w:val="22"/>
        </w:rPr>
        <w:t>Infrastructure</w:t>
      </w:r>
      <w:r>
        <w:rPr>
          <w:rFonts w:ascii="Calibri" w:hAnsi="Calibri"/>
          <w:b w:val="0"/>
          <w:color w:val="1A2010"/>
          <w:sz w:val="22"/>
        </w:rPr>
        <w:t xml:space="preserve">  </w:t>
      </w:r>
      <w:r>
        <w:rPr>
          <w:rFonts w:ascii="Calibri" w:hAnsi="Calibri"/>
          <w:b/>
          <w:color w:val="16A34A"/>
          <w:sz w:val="16"/>
        </w:rPr>
        <w:t xml:space="preserve"> STRONG </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Mechanically scored on available dividend-stock metrics. HASI's primary strengths are its attractive forward valuation (Forward P/E 10.68x, well below the 20x target) and high GAAP profit margin (67.65%), reflecting the capital-light financial services model [1][3]. Revenue growth YoY is extremely volatile due to GAAP accounting for fair value changes and gain recognition, but the underlying business grew managed assets 13% YoY to $16.4B [1]. The primary drags are high leverage (D/E 222.66% reflecting REIT capital structure with $5.9B debt) and very low trailing GAAP ROE (3.37%), which is depressed by non-cash fair value adjustments in the trailing period — forward EPS of $3.33 implies significantly higher forward ROE [3]. The GAAP payout ratio of 260% ($1.70 dividend on $0.65 trailing EPS) exceeds the 100% floor but is typical for REITs where GAAP earnings understate distributable cash flow. Consecutive years paid of approximately 13 (since 2013 IPO) and 5yr dividend growth CAGR of approximately 4% provide partial dividend metrics support [1]. Muddy Waters' 2022 short report alleged inflated GAAP earnings through non-cash income recognition, which remains a risk factor for financial metric reliability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FINITE VS INFINITE GAME — SINEK (25%)</w:t>
            </w:r>
          </w:p>
        </w:tc>
      </w:tr>
    </w:tbl>
    <w:p>
      <w:pPr>
        <w:spacing w:after="40"/>
      </w:pPr>
      <w:r>
        <w:rPr>
          <w:rFonts w:ascii="Calibri" w:hAnsi="Calibri"/>
          <w:b w:val="0"/>
          <w:color w:val="6E8450"/>
          <w:sz w:val="22"/>
        </w:rPr>
        <w:t xml:space="preserve">Mindset: </w:t>
      </w:r>
      <w:r>
        <w:rPr>
          <w:rFonts w:ascii="Calibri" w:hAnsi="Calibri"/>
          <w:b/>
          <w:color w:val="B8860B"/>
          <w:sz w:val="22"/>
        </w:rPr>
        <w:t>MIXED</w:t>
      </w:r>
      <w:r>
        <w:rPr>
          <w:rFonts w:ascii="Calibri" w:hAnsi="Calibri"/>
          <w:b w:val="0"/>
          <w:color w:val="6E8450"/>
          <w:sz w:val="22"/>
        </w:rPr>
        <w:t xml:space="preserve">      Overall: </w:t>
      </w:r>
      <w:r>
        <w:rPr>
          <w:rFonts w:ascii="Calibri" w:hAnsi="Calibri"/>
          <w:b/>
          <w:color w:val="B8860B"/>
          <w:sz w:val="28"/>
        </w:rPr>
        <w:t>5</w:t>
      </w:r>
      <w:r>
        <w:rPr>
          <w:rFonts w:ascii="Calibri" w:hAnsi="Calibri"/>
          <w:b w:val="0"/>
          <w:color w:val="9DAF88"/>
          <w:sz w:val="18"/>
        </w:rPr>
        <w:t xml:space="preserve"> /10</w:t>
      </w:r>
    </w:p>
    <w:p>
      <w:pPr>
        <w:spacing w:after="120"/>
      </w:pPr>
      <w:r>
        <w:rPr>
          <w:rFonts w:ascii="Calibri" w:hAnsi="Calibri"/>
          <w:b w:val="0"/>
          <w:color w:val="3A4A28"/>
          <w:sz w:val="18"/>
        </w:rPr>
        <w:t>HASI demonstrates genuine long-term orientation through its 45-year commitment to climate-positive investing, predating the ESG movement by decades. The company has shown courage by maintaining its clean energy focus through political headwinds and surviving the Muddy Waters short attack in 2022. However, the Just Cause remains partially validated rather than transformative, and the company has not demonstrated the kind of dramatic strategic flexibility or competitive self-awareness that defines Sinek's strongest infinite game players.</w:t>
      </w:r>
    </w:p>
    <w:p>
      <w:pPr>
        <w:spacing w:before="200" w:after="40"/>
      </w:pPr>
      <w:r>
        <w:rPr>
          <w:rFonts w:ascii="Calibri" w:hAnsi="Calibri"/>
          <w:b/>
          <w:color w:val="1A2010"/>
          <w:sz w:val="22"/>
        </w:rPr>
        <w:t>Just Cause</w:t>
      </w:r>
    </w:p>
    <w:p>
      <w:pPr>
        <w:spacing w:before="0" w:after="40"/>
      </w:pPr>
      <w:r>
        <w:rPr>
          <w:rFonts w:ascii="Calibri" w:hAnsi="Calibri"/>
          <w:b/>
          <w:color w:val="16A34A"/>
          <w:sz w:val="28"/>
        </w:rPr>
        <w:t>7</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858"/>
            <w:shd w:fill="16A34A" w:val="clear"/>
          </w:tcPr>
          <w:p>
            <w:pPr>
              <w:spacing w:before="0" w:after="0"/>
            </w:pPr>
            <w:r>
              <w:rPr>
                <w:rFonts w:ascii="Calibri" w:hAnsi="Calibri"/>
                <w:b w:val="0"/>
                <w:color w:val="1A2010"/>
                <w:sz w:val="4"/>
              </w:rPr>
            </w:r>
          </w:p>
        </w:tc>
        <w:tc>
          <w:tcPr>
            <w:tcW w:type="dxa" w:w="1654"/>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Just Cause (2/3): HASI's purpose — climate-positive investing with superior risk-adjusted returns — is genuine, distinctive, and has been consistently pursued since the company's 1981 founding, 45 years before the current ESG wave [2]. The purpose shaped the decision to become the first public company solely dedicated to climate investments, and the CDP 'A' score validates execution. However, the cause has not been tested through a truly existential crisis that would prove the cause IS the competitive advantage — the Muddy Waters attack tested financial resilience but not purpose resilience [3].</w:t>
      </w:r>
    </w:p>
    <w:p>
      <w:pPr>
        <w:spacing w:before="200" w:after="40"/>
      </w:pPr>
      <w:r>
        <w:rPr>
          <w:rFonts w:ascii="Calibri" w:hAnsi="Calibri"/>
          <w:b/>
          <w:color w:val="1A2010"/>
          <w:sz w:val="22"/>
        </w:rPr>
        <w:t>Trusting Teams</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Trusting Teams (1/2): HASI has maintained organizational stability through multiple leadership transitions — founder Jeff Eckel moved to Executive Chair in 2023 with Jeffrey Lipson becoming CEO, a deliberate and orderly succession [2]. The 170-person organization has remained stable without major cultural disruptions. Former EXIM Chairman Kimberly Reed and CEO Lipson were recently appointed to the board, suggesting governance continuity [2]. No evidence of exceptional trust practices or employee empowerment data.</w:t>
      </w:r>
    </w:p>
    <w:p>
      <w:pPr>
        <w:spacing w:before="200" w:after="40"/>
      </w:pPr>
      <w:r>
        <w:rPr>
          <w:rFonts w:ascii="Calibri" w:hAnsi="Calibri"/>
          <w:b/>
          <w:color w:val="1A2010"/>
          <w:sz w:val="22"/>
        </w:rPr>
        <w:t>Worthy Rivals</w:t>
      </w:r>
    </w:p>
    <w:p>
      <w:pPr>
        <w:spacing w:before="0" w:after="40"/>
      </w:pPr>
      <w:r>
        <w:rPr>
          <w:rFonts w:ascii="Calibri" w:hAnsi="Calibri"/>
          <w:b/>
          <w:color w:val="DC2626"/>
          <w:sz w:val="28"/>
        </w:rPr>
        <w:t>3</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1654"/>
            <w:shd w:fill="DC2626" w:val="clear"/>
          </w:tcPr>
          <w:p>
            <w:pPr>
              <w:spacing w:before="0" w:after="0"/>
            </w:pPr>
            <w:r>
              <w:rPr>
                <w:rFonts w:ascii="Calibri" w:hAnsi="Calibri"/>
                <w:b w:val="0"/>
                <w:color w:val="1A2010"/>
                <w:sz w:val="4"/>
              </w:rPr>
            </w:r>
          </w:p>
        </w:tc>
        <w:tc>
          <w:tcPr>
            <w:tcW w:type="dxa" w:w="3858"/>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Worthy Rivals (0/1): No evidence of HASI framing competitors as worthy rivals or referencing learning from peers. The company's communications focus on its unique positioning as the 'first and only' public climate-positive investment company rather than engaging with how competitors' strengths could improve its own approach [2].</w:t>
      </w:r>
    </w:p>
    <w:p>
      <w:pPr>
        <w:spacing w:before="200" w:after="40"/>
      </w:pPr>
      <w:r>
        <w:rPr>
          <w:rFonts w:ascii="Calibri" w:hAnsi="Calibri"/>
          <w:b/>
          <w:color w:val="1A2010"/>
          <w:sz w:val="22"/>
        </w:rPr>
        <w:t>Existential Flexibility</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Existential Flexibility (1/2): HASI has incrementally evolved its investment scope from energy efficiency financing to a broader climate solutions platform encompassing grid-connected renewables, behind-the-meter projects, RNG, transportation fleet enhancements, and ecological restoration [1]. The name change from Hannon Armstrong to HA Sustainable Infrastructure Capital reflects this strategic broadening. However, the core business model (financing clean infrastructure) has not fundamentally changed — this is incremental evolution, not transformative reinvention.</w:t>
      </w:r>
    </w:p>
    <w:p>
      <w:pPr>
        <w:spacing w:before="200" w:after="40"/>
      </w:pPr>
      <w:r>
        <w:rPr>
          <w:rFonts w:ascii="Calibri" w:hAnsi="Calibri"/>
          <w:b/>
          <w:color w:val="1A2010"/>
          <w:sz w:val="22"/>
        </w:rPr>
        <w:t>Courage To Lead</w:t>
      </w:r>
    </w:p>
    <w:p>
      <w:pPr>
        <w:spacing w:before="0" w:after="40"/>
      </w:pPr>
      <w:r>
        <w:rPr>
          <w:rFonts w:ascii="Calibri" w:hAnsi="Calibri"/>
          <w:b/>
          <w:color w:val="B8860B"/>
          <w:sz w:val="28"/>
        </w:rPr>
        <w:t>6</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3307"/>
            <w:shd w:fill="B8860B" w:val="clear"/>
          </w:tcPr>
          <w:p>
            <w:pPr>
              <w:spacing w:before="0" w:after="0"/>
            </w:pPr>
            <w:r>
              <w:rPr>
                <w:rFonts w:ascii="Calibri" w:hAnsi="Calibri"/>
                <w:b w:val="0"/>
                <w:color w:val="1A2010"/>
                <w:sz w:val="4"/>
              </w:rPr>
            </w:r>
          </w:p>
        </w:tc>
        <w:tc>
          <w:tcPr>
            <w:tcW w:type="dxa" w:w="2205"/>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Courage to Lead (1/2): HASI has demonstrated courage by maintaining its exclusively climate-focused investment strategy through political headwinds against ESG investing and clean energy subsidies, including navigating the 2022 Muddy Waters short attack that challenged the company's accounting practices and temporarily depressed the stock [3]. The company did not abandon its mission or diversify into non-climate investments despite pressure. However, no evidence of dramatic long-term bets that sacrificed near-term earnings for future capability.</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INVESTMENT THESIS</w:t>
            </w:r>
          </w:p>
        </w:tc>
      </w:tr>
    </w:tbl>
    <w:p>
      <w:pPr>
        <w:spacing w:after="120"/>
      </w:pPr>
      <w:r>
        <w:rPr>
          <w:rFonts w:ascii="Calibri" w:hAnsi="Calibri"/>
          <w:b w:val="0"/>
          <w:color w:val="3A4A28"/>
          <w:sz w:val="20"/>
        </w:rPr>
        <w:t>HASI offers a compelling combination of climate-positive mission and attractive valuation — at 10.68x forward earnings with a 4.78% dividend yield, the stock is priced below its historical average despite accelerating fundamentals [1][3]. Q1 2026 delivered adjusted earnings up 31% YoY to $102M with managed assets growing 13% to $16.4B and portfolio yield of 9.2%. The company projects 8-10% annual adjusted EPS CAGR through 2026, and AI-driven data center growth is creating secular tailwinds for renewable energy demand. The Inspire Impact Score of 74 (ALIGNED) with 16 positive attributions across environmental and governance categories makes HASI one of the strongest faith-aligned holdings in the universe.</w:t>
      </w:r>
    </w:p>
    <w:p>
      <w:pPr>
        <w:spacing w:after="120"/>
      </w:pPr>
      <w:r>
        <w:rPr>
          <w:rFonts w:ascii="Calibri" w:hAnsi="Calibri"/>
          <w:b w:val="0"/>
          <w:color w:val="3A4A28"/>
          <w:sz w:val="20"/>
        </w:rPr>
        <w:t>The bear case centers on financial complexity, leverage risk, and political uncertainty. HASI's 222.66% D/E ratio reflects REIT-typical leverage but creates significant interest rate sensitivity — rising rates compress both the value of existing fixed-rate assets and the spread on new investments [3]. The 2022 Muddy Waters short report alleged that HASI inflates GAAP earnings through non-cash income recognition from renewable energy tax credits, manipulated discount rates on residual assets, and PIK interest from stressed borrowers — while the company survived the attack, these accounting concerns have not been fully resolved [3]. Trailing GAAP ROE of only 3.37% and a 260% GAAP payout ratio suggest the dividend may be less covered than headline metrics imply. Political risk remains elevated as anti-ESG sentiment and potential subsidy rollbacks (IRA clean energy tax credits) could reduce demand for HASI's financing products. The trailing P/E of 54.71x vs forward P/E of 10.68x highlights the extreme gap between GAAP and adjusted earnings that makes valuation assessment difficult.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16A34A"/>
            </w:tcBorders>
          </w:tcPr>
          <w:p>
            <w:pPr>
              <w:spacing w:before="240" w:after="80"/>
            </w:pPr>
            <w:r>
              <w:rPr>
                <w:rFonts w:ascii="Calibri" w:hAnsi="Calibri"/>
                <w:b/>
                <w:color w:val="6E8450"/>
                <w:sz w:val="17"/>
              </w:rPr>
              <w:t>KEY CATALYSTS</w:t>
            </w:r>
          </w:p>
        </w:tc>
      </w:tr>
    </w:tbl>
    <w:p>
      <w:pPr>
        <w:spacing w:before="40" w:after="40"/>
        <w:ind w:left="283"/>
      </w:pPr>
      <w:r>
        <w:rPr>
          <w:rFonts w:ascii="Calibri" w:hAnsi="Calibri"/>
          <w:b/>
          <w:color w:val="4A6B25"/>
          <w:sz w:val="20"/>
        </w:rPr>
        <w:t xml:space="preserve">1. </w:t>
      </w:r>
      <w:r>
        <w:rPr>
          <w:rFonts w:ascii="Calibri" w:hAnsi="Calibri"/>
          <w:b w:val="0"/>
          <w:color w:val="3A4A28"/>
          <w:sz w:val="20"/>
        </w:rPr>
        <w:t>AI-driven data center buildout creating secular demand growth for renewable energy — hyperscaler clean energy procurement is accelerating, directly increasing HASI's addressable investment pipeline for grid-connected solar, wind, and storage projects [1]</w:t>
      </w:r>
    </w:p>
    <w:p>
      <w:pPr>
        <w:spacing w:before="40" w:after="40"/>
        <w:ind w:left="283"/>
      </w:pPr>
      <w:r>
        <w:rPr>
          <w:rFonts w:ascii="Calibri" w:hAnsi="Calibri"/>
          <w:b/>
          <w:color w:val="4A6B25"/>
          <w:sz w:val="20"/>
        </w:rPr>
        <w:t xml:space="preserve">2. </w:t>
      </w:r>
      <w:r>
        <w:rPr>
          <w:rFonts w:ascii="Calibri" w:hAnsi="Calibri"/>
          <w:b w:val="0"/>
          <w:color w:val="3A4A28"/>
          <w:sz w:val="20"/>
        </w:rPr>
        <w:t>Management guidance of 8-10% annual adjusted EPS CAGR through 2026 baseline, with Q1 2026 results (31% adjusted earnings growth) tracking well above the midpoint, supported by $16.4B managed assets growing 13% YoY [1]</w:t>
      </w:r>
    </w:p>
    <w:p>
      <w:pPr>
        <w:spacing w:before="40" w:after="40"/>
        <w:ind w:left="283"/>
      </w:pPr>
      <w:r>
        <w:rPr>
          <w:rFonts w:ascii="Calibri" w:hAnsi="Calibri"/>
          <w:b/>
          <w:color w:val="4A6B25"/>
          <w:sz w:val="20"/>
        </w:rPr>
        <w:t xml:space="preserve">3. </w:t>
      </w:r>
      <w:r>
        <w:rPr>
          <w:rFonts w:ascii="Calibri" w:hAnsi="Calibri"/>
          <w:b w:val="0"/>
          <w:color w:val="3A4A28"/>
          <w:sz w:val="20"/>
        </w:rPr>
        <w:t>4.78% dividend yield at 10.68x forward P/E represents attractive income-plus-growth opportunity if adjusted earnings trajectory holds, with potential for multiple expansion as interest rates normalize [1]</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DC2626"/>
            </w:tcBorders>
          </w:tcPr>
          <w:p>
            <w:pPr>
              <w:spacing w:before="240" w:after="80"/>
            </w:pPr>
            <w:r>
              <w:rPr>
                <w:rFonts w:ascii="Calibri" w:hAnsi="Calibri"/>
                <w:b/>
                <w:color w:val="6E8450"/>
                <w:sz w:val="17"/>
              </w:rPr>
              <w:t>KEY RISKS</w:t>
            </w:r>
          </w:p>
        </w:tc>
      </w:tr>
    </w:tbl>
    <w:p>
      <w:pPr>
        <w:spacing w:before="40" w:after="40"/>
        <w:ind w:left="283"/>
      </w:pPr>
      <w:r>
        <w:rPr>
          <w:rFonts w:ascii="Calibri" w:hAnsi="Calibri"/>
          <w:b/>
          <w:color w:val="4A6B25"/>
          <w:sz w:val="20"/>
        </w:rPr>
        <w:t xml:space="preserve">1. </w:t>
      </w:r>
      <w:r>
        <w:rPr>
          <w:rFonts w:ascii="Calibri" w:hAnsi="Calibri"/>
          <w:b w:val="0"/>
          <w:color w:val="3A4A28"/>
          <w:sz w:val="20"/>
        </w:rPr>
        <w:t>Accounting complexity and Muddy Waters allegations — GAAP earnings include non-cash income from tax credit accounting, fair value gains, and PIK interest that may not represent sustainable economic earnings, creating risk that distributable cash flow is lower than reported [3]</w:t>
      </w:r>
    </w:p>
    <w:p>
      <w:pPr>
        <w:spacing w:before="40" w:after="40"/>
        <w:ind w:left="283"/>
      </w:pPr>
      <w:r>
        <w:rPr>
          <w:rFonts w:ascii="Calibri" w:hAnsi="Calibri"/>
          <w:b/>
          <w:color w:val="4A6B25"/>
          <w:sz w:val="20"/>
        </w:rPr>
        <w:t xml:space="preserve">2. </w:t>
      </w:r>
      <w:r>
        <w:rPr>
          <w:rFonts w:ascii="Calibri" w:hAnsi="Calibri"/>
          <w:b w:val="0"/>
          <w:color w:val="3A4A28"/>
          <w:sz w:val="20"/>
        </w:rPr>
        <w:t>High leverage (222.66% D/E, $5.9B total debt) creates significant interest rate and refinancing risk — each 100bp rate increase compresses portfolio spreads and reduces the net present value of existing fixed-rate receivables [3]</w:t>
      </w:r>
    </w:p>
    <w:p>
      <w:pPr>
        <w:spacing w:before="40" w:after="40"/>
        <w:ind w:left="283"/>
      </w:pPr>
      <w:r>
        <w:rPr>
          <w:rFonts w:ascii="Calibri" w:hAnsi="Calibri"/>
          <w:b/>
          <w:color w:val="4A6B25"/>
          <w:sz w:val="20"/>
        </w:rPr>
        <w:t xml:space="preserve">3. </w:t>
      </w:r>
      <w:r>
        <w:rPr>
          <w:rFonts w:ascii="Calibri" w:hAnsi="Calibri"/>
          <w:b w:val="0"/>
          <w:color w:val="3A4A28"/>
          <w:sz w:val="20"/>
        </w:rPr>
        <w:t>Political and regulatory risk from potential rollback of IRA clean energy tax credits and anti-ESG legislative pressure could reduce demand for HASI's financing products and compress investment yields [3]</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AI RESILIENCE (25%)</w:t>
            </w:r>
          </w:p>
        </w:tc>
      </w:tr>
    </w:tbl>
    <w:p>
      <w:pPr>
        <w:spacing w:before="200" w:after="40"/>
      </w:pPr>
      <w:r>
        <w:rPr>
          <w:rFonts w:ascii="Calibri" w:hAnsi="Calibri"/>
          <w:b/>
          <w:color w:val="1A2010"/>
          <w:sz w:val="22"/>
        </w:rPr>
        <w:t>AI Resilience</w:t>
      </w:r>
      <w:r>
        <w:rPr>
          <w:rFonts w:ascii="Calibri" w:hAnsi="Calibri"/>
          <w:b w:val="0"/>
          <w:color w:val="1A2010"/>
          <w:sz w:val="22"/>
        </w:rPr>
        <w:t xml:space="preserve">  </w:t>
      </w:r>
      <w:r>
        <w:rPr>
          <w:rFonts w:ascii="Calibri" w:hAnsi="Calibri"/>
          <w:b/>
          <w:color w:val="16A34A"/>
          <w:sz w:val="16"/>
        </w:rPr>
        <w:t xml:space="preserve"> LOW RISK </w:t>
      </w:r>
    </w:p>
    <w:p>
      <w:pPr>
        <w:spacing w:before="0" w:after="40"/>
      </w:pPr>
      <w:r>
        <w:rPr>
          <w:rFonts w:ascii="Calibri" w:hAnsi="Calibri"/>
          <w:b/>
          <w:color w:val="16A34A"/>
          <w:sz w:val="28"/>
        </w:rPr>
        <w:t>8</w:t>
      </w:r>
      <w:r>
        <w:rPr>
          <w:rFonts w:ascii="Calibri" w:hAnsi="Calibri"/>
          <w:b w:val="0"/>
          <w:color w:val="9DAF88"/>
          <w:sz w:val="18"/>
        </w:rPr>
        <w:t xml:space="preserve"> /10</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3500" w:type="dxa"/>
      </w:tblPr>
      <w:tblGrid>
        <w:gridCol w:w="5400"/>
        <w:gridCol w:w="5400"/>
      </w:tblGrid>
      <w:tr>
        <w:trPr>
          <w:trHeight w:val="170"/>
        </w:trPr>
        <w:tc>
          <w:tcPr>
            <w:tcW w:type="dxa" w:w="4409"/>
            <w:shd w:fill="16A34A" w:val="clear"/>
          </w:tcPr>
          <w:p>
            <w:pPr>
              <w:spacing w:before="0" w:after="0"/>
            </w:pPr>
            <w:r>
              <w:rPr>
                <w:rFonts w:ascii="Calibri" w:hAnsi="Calibri"/>
                <w:b w:val="0"/>
                <w:color w:val="1A2010"/>
                <w:sz w:val="4"/>
              </w:rPr>
            </w:r>
          </w:p>
        </w:tc>
        <w:tc>
          <w:tcPr>
            <w:tcW w:type="dxa" w:w="1102"/>
            <w:shd w:fill="EDEFE8" w:val="clear"/>
          </w:tcPr>
          <w:p>
            <w:pPr>
              <w:spacing w:before="0" w:after="0"/>
            </w:pPr>
            <w:r>
              <w:rPr>
                <w:rFonts w:ascii="Calibri" w:hAnsi="Calibri"/>
                <w:b w:val="0"/>
                <w:color w:val="1A2010"/>
                <w:sz w:val="4"/>
              </w:rPr>
            </w:r>
          </w:p>
        </w:tc>
      </w:tr>
    </w:tbl>
    <w:p>
      <w:pPr>
        <w:spacing w:before="60" w:after="120"/>
      </w:pPr>
      <w:r>
        <w:rPr>
          <w:rFonts w:ascii="Calibri" w:hAnsi="Calibri"/>
          <w:b w:val="0"/>
          <w:color w:val="3A4A28"/>
          <w:sz w:val="18"/>
        </w:rPr>
        <w:t>AI Risk Protection (8/9): HASI's core business is financing physical infrastructure — solar panels, wind turbines, energy efficiency retrofits, RNG plants, and ecological restoration projects [1]. AI cannot replace these physical assets or the regulatory frameworks governing renewable energy development. The clean energy infrastructure market is actually expanding due to AI: hyperscale data centers require enormous amounts of clean electricity, directly increasing demand for the renewable energy projects HASI finances [1]. The financial intermediation role carries modest AI efficiency risk (automated underwriting, portfolio analytics), but the physical asset base and regulatory moats (tax credits, PPA structures, utility interconnection) create structural protection. AI Opportunity (0/1): HASI generates no revenue from AI products or services. The company has not disclosed AI-driven revenue or cost savings [2].</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FAITH ALIGNMENT — INSPIRE INSIGHT</w:t>
            </w:r>
          </w:p>
        </w:tc>
      </w:tr>
    </w:tbl>
    <w:p>
      <w:pPr>
        <w:spacing w:after="40"/>
      </w:pPr>
      <w:r>
        <w:rPr>
          <w:rFonts w:ascii="Calibri" w:hAnsi="Calibri"/>
          <w:b w:val="0"/>
          <w:color w:val="6E8450"/>
          <w:sz w:val="22"/>
        </w:rPr>
        <w:t xml:space="preserve">Inspire Impact Score:  </w:t>
      </w:r>
      <w:r>
        <w:rPr>
          <w:rFonts w:ascii="Calibri" w:hAnsi="Calibri"/>
          <w:b/>
          <w:color w:val="16A34A"/>
          <w:sz w:val="28"/>
        </w:rPr>
        <w:t>74</w:t>
      </w:r>
      <w:r>
        <w:rPr>
          <w:rFonts w:ascii="Calibri" w:hAnsi="Calibri"/>
          <w:b/>
          <w:color w:val="B8860B"/>
          <w:sz w:val="20"/>
        </w:rPr>
        <w:t xml:space="preserve">    ALIGNED</w:t>
      </w:r>
    </w:p>
    <w:p>
      <w:pPr>
        <w:spacing w:before="80" w:after="40"/>
      </w:pPr>
      <w:r>
        <w:rPr>
          <w:rFonts w:ascii="Calibri" w:hAnsi="Calibri"/>
          <w:b/>
          <w:color w:val="6E8450"/>
          <w:sz w:val="18"/>
        </w:rPr>
        <w:t xml:space="preserve">Positive: </w:t>
      </w:r>
      <w:r>
        <w:rPr>
          <w:rFonts w:ascii="Calibri" w:hAnsi="Calibri"/>
          <w:b/>
          <w:color w:val="16A34A"/>
          <w:sz w:val="17"/>
        </w:rPr>
        <w:t xml:space="preserve"> Air Quality </w:t>
      </w:r>
      <w:r>
        <w:rPr>
          <w:rFonts w:ascii="Calibri" w:hAnsi="Calibri"/>
          <w:b w:val="0"/>
          <w:color w:val="9DAF88"/>
          <w:sz w:val="17"/>
        </w:rPr>
        <w:t xml:space="preserve">  ·  </w:t>
      </w:r>
      <w:r>
        <w:rPr>
          <w:rFonts w:ascii="Calibri" w:hAnsi="Calibri"/>
          <w:b/>
          <w:color w:val="16A34A"/>
          <w:sz w:val="17"/>
        </w:rPr>
        <w:t xml:space="preserve"> Business Resilience </w:t>
      </w:r>
      <w:r>
        <w:rPr>
          <w:rFonts w:ascii="Calibri" w:hAnsi="Calibri"/>
          <w:b w:val="0"/>
          <w:color w:val="9DAF88"/>
          <w:sz w:val="17"/>
        </w:rPr>
        <w:t xml:space="preserve">  ·  </w:t>
      </w:r>
      <w:r>
        <w:rPr>
          <w:rFonts w:ascii="Calibri" w:hAnsi="Calibri"/>
          <w:b/>
          <w:color w:val="16A34A"/>
          <w:sz w:val="17"/>
        </w:rPr>
        <w:t xml:space="preserve"> Energy Management </w:t>
      </w:r>
      <w:r>
        <w:rPr>
          <w:rFonts w:ascii="Calibri" w:hAnsi="Calibri"/>
          <w:b w:val="0"/>
          <w:color w:val="9DAF88"/>
          <w:sz w:val="17"/>
        </w:rPr>
        <w:t xml:space="preserve">  ·  </w:t>
      </w:r>
      <w:r>
        <w:rPr>
          <w:rFonts w:ascii="Calibri" w:hAnsi="Calibri"/>
          <w:b/>
          <w:color w:val="16A34A"/>
          <w:sz w:val="17"/>
        </w:rPr>
        <w:t xml:space="preserve"> Environmental Risk Mitigation </w:t>
      </w:r>
      <w:r>
        <w:rPr>
          <w:rFonts w:ascii="Calibri" w:hAnsi="Calibri"/>
          <w:b w:val="0"/>
          <w:color w:val="9DAF88"/>
          <w:sz w:val="17"/>
        </w:rPr>
        <w:t xml:space="preserve">  ·  </w:t>
      </w:r>
      <w:r>
        <w:rPr>
          <w:rFonts w:ascii="Calibri" w:hAnsi="Calibri"/>
          <w:b/>
          <w:color w:val="16A34A"/>
          <w:sz w:val="17"/>
        </w:rPr>
        <w:t xml:space="preserve"> Ethical Supply Chain Management </w:t>
      </w:r>
      <w:r>
        <w:rPr>
          <w:rFonts w:ascii="Calibri" w:hAnsi="Calibri"/>
          <w:b w:val="0"/>
          <w:color w:val="9DAF88"/>
          <w:sz w:val="17"/>
        </w:rPr>
        <w:t xml:space="preserve">  ·  </w:t>
      </w:r>
      <w:r>
        <w:rPr>
          <w:rFonts w:ascii="Calibri" w:hAnsi="Calibri"/>
          <w:b/>
          <w:color w:val="16A34A"/>
          <w:sz w:val="17"/>
        </w:rPr>
        <w:t xml:space="preserve"> GHG Emissions </w:t>
      </w:r>
      <w:r>
        <w:rPr>
          <w:rFonts w:ascii="Calibri" w:hAnsi="Calibri"/>
          <w:b w:val="0"/>
          <w:color w:val="9DAF88"/>
          <w:sz w:val="17"/>
        </w:rPr>
        <w:t xml:space="preserve">  ·  </w:t>
      </w:r>
      <w:r>
        <w:rPr>
          <w:rFonts w:ascii="Calibri" w:hAnsi="Calibri"/>
          <w:b/>
          <w:color w:val="16A34A"/>
          <w:sz w:val="17"/>
        </w:rPr>
        <w:t xml:space="preserve"> Hiring Ethics </w:t>
      </w:r>
      <w:r>
        <w:rPr>
          <w:rFonts w:ascii="Calibri" w:hAnsi="Calibri"/>
          <w:b w:val="0"/>
          <w:color w:val="9DAF88"/>
          <w:sz w:val="17"/>
        </w:rPr>
        <w:t xml:space="preserve">  ·  </w:t>
      </w:r>
      <w:r>
        <w:rPr>
          <w:rFonts w:ascii="Calibri" w:hAnsi="Calibri"/>
          <w:b/>
          <w:color w:val="16A34A"/>
          <w:sz w:val="17"/>
        </w:rPr>
        <w:t xml:space="preserve"> Human Rights </w:t>
      </w:r>
      <w:r>
        <w:rPr>
          <w:rFonts w:ascii="Calibri" w:hAnsi="Calibri"/>
          <w:b w:val="0"/>
          <w:color w:val="9DAF88"/>
          <w:sz w:val="17"/>
        </w:rPr>
        <w:t xml:space="preserve">  ·  </w:t>
      </w:r>
      <w:r>
        <w:rPr>
          <w:rFonts w:ascii="Calibri" w:hAnsi="Calibri"/>
          <w:b/>
          <w:color w:val="16A34A"/>
          <w:sz w:val="17"/>
        </w:rPr>
        <w:t xml:space="preserve"> Low Ecological Impact </w:t>
      </w:r>
      <w:r>
        <w:rPr>
          <w:rFonts w:ascii="Calibri" w:hAnsi="Calibri"/>
          <w:b w:val="0"/>
          <w:color w:val="9DAF88"/>
          <w:sz w:val="17"/>
        </w:rPr>
        <w:t xml:space="preserve">  ·  </w:t>
      </w:r>
      <w:r>
        <w:rPr>
          <w:rFonts w:ascii="Calibri" w:hAnsi="Calibri"/>
          <w:b/>
          <w:color w:val="16A34A"/>
          <w:sz w:val="17"/>
        </w:rPr>
        <w:t xml:space="preserve"> Materials Efficiency </w:t>
      </w:r>
      <w:r>
        <w:rPr>
          <w:rFonts w:ascii="Calibri" w:hAnsi="Calibri"/>
          <w:b w:val="0"/>
          <w:color w:val="9DAF88"/>
          <w:sz w:val="17"/>
        </w:rPr>
        <w:t xml:space="preserve">  ·  </w:t>
      </w:r>
      <w:r>
        <w:rPr>
          <w:rFonts w:ascii="Calibri" w:hAnsi="Calibri"/>
          <w:b/>
          <w:color w:val="16A34A"/>
          <w:sz w:val="17"/>
        </w:rPr>
        <w:t xml:space="preserve"> Product Access and Affordability </w:t>
      </w:r>
      <w:r>
        <w:rPr>
          <w:rFonts w:ascii="Calibri" w:hAnsi="Calibri"/>
          <w:b w:val="0"/>
          <w:color w:val="9DAF88"/>
          <w:sz w:val="17"/>
        </w:rPr>
        <w:t xml:space="preserve">  ·  </w:t>
      </w:r>
      <w:r>
        <w:rPr>
          <w:rFonts w:ascii="Calibri" w:hAnsi="Calibri"/>
          <w:b/>
          <w:color w:val="16A34A"/>
          <w:sz w:val="17"/>
        </w:rPr>
        <w:t xml:space="preserve"> Product Safety </w:t>
      </w:r>
      <w:r>
        <w:rPr>
          <w:rFonts w:ascii="Calibri" w:hAnsi="Calibri"/>
          <w:b w:val="0"/>
          <w:color w:val="9DAF88"/>
          <w:sz w:val="17"/>
        </w:rPr>
        <w:t xml:space="preserve">  ·  </w:t>
      </w:r>
      <w:r>
        <w:rPr>
          <w:rFonts w:ascii="Calibri" w:hAnsi="Calibri"/>
          <w:b/>
          <w:color w:val="16A34A"/>
          <w:sz w:val="17"/>
        </w:rPr>
        <w:t xml:space="preserve"> Product Sustainability </w:t>
      </w:r>
      <w:r>
        <w:rPr>
          <w:rFonts w:ascii="Calibri" w:hAnsi="Calibri"/>
          <w:b w:val="0"/>
          <w:color w:val="9DAF88"/>
          <w:sz w:val="17"/>
        </w:rPr>
        <w:t xml:space="preserve">  ·  </w:t>
      </w:r>
      <w:r>
        <w:rPr>
          <w:rFonts w:ascii="Calibri" w:hAnsi="Calibri"/>
          <w:b/>
          <w:color w:val="16A34A"/>
          <w:sz w:val="17"/>
        </w:rPr>
        <w:t xml:space="preserve"> Regulatory Adherence </w:t>
      </w:r>
      <w:r>
        <w:rPr>
          <w:rFonts w:ascii="Calibri" w:hAnsi="Calibri"/>
          <w:b w:val="0"/>
          <w:color w:val="9DAF88"/>
          <w:sz w:val="17"/>
        </w:rPr>
        <w:t xml:space="preserve">  ·  </w:t>
      </w:r>
      <w:r>
        <w:rPr>
          <w:rFonts w:ascii="Calibri" w:hAnsi="Calibri"/>
          <w:b/>
          <w:color w:val="16A34A"/>
          <w:sz w:val="17"/>
        </w:rPr>
        <w:t xml:space="preserve"> Waste and Hazmat Management </w:t>
      </w:r>
      <w:r>
        <w:rPr>
          <w:rFonts w:ascii="Calibri" w:hAnsi="Calibri"/>
          <w:b w:val="0"/>
          <w:color w:val="9DAF88"/>
          <w:sz w:val="17"/>
        </w:rPr>
        <w:t xml:space="preserve">  ·  </w:t>
      </w:r>
      <w:r>
        <w:rPr>
          <w:rFonts w:ascii="Calibri" w:hAnsi="Calibri"/>
          <w:b/>
          <w:color w:val="16A34A"/>
          <w:sz w:val="17"/>
        </w:rPr>
        <w:t xml:space="preserve"> Water Conservation </w:t>
      </w:r>
    </w:p>
    <w:p>
      <w:pPr>
        <w:spacing w:before="120"/>
      </w:pPr>
      <w:r>
        <w:rPr>
          <w:rFonts w:ascii="Calibri" w:hAnsi="Calibri"/>
          <w:b w:val="0"/>
          <w:color w:val="9DAF88"/>
          <w:sz w:val="15"/>
        </w:rPr>
        <w:t>Source: Inspire Insight</w:t>
      </w:r>
    </w:p>
    <w:tbl>
      <w:tblPr>
        <w:jc w:val="left"/>
        <w:tblLook w:firstColumn="1" w:firstRow="1" w:lastColumn="0" w:lastRow="0" w:noHBand="0" w:noVBand="1" w:val="04A0"/>
        <w:tblBorders>
          <w:top w:val="none" w:sz="0" w:space="0" w:color="auto"/>
          <w:left w:val="none" w:sz="0" w:space="0" w:color="auto"/>
          <w:bottom w:val="none" w:sz="0" w:space="0" w:color="auto"/>
          <w:right w:val="none" w:sz="0" w:space="0" w:color="auto"/>
          <w:insideH w:val="none" w:sz="0" w:space="0" w:color="auto"/>
          <w:insideV w:val="none" w:sz="0" w:space="0" w:color="auto"/>
        </w:tblBorders>
        <w:tblW w:w="5000" w:type="pct"/>
      </w:tblPr>
      <w:tblGrid>
        <w:gridCol w:w="10800"/>
      </w:tblGrid>
      <w:tr>
        <w:tc>
          <w:tcPr>
            <w:tcW w:type="dxa" w:w="10800"/>
            <w:tcBorders>
              <w:bottom w:val="single" w:sz="8" w:space="0" w:color="B8860B"/>
            </w:tcBorders>
          </w:tcPr>
          <w:p>
            <w:pPr>
              <w:spacing w:before="240" w:after="80"/>
            </w:pPr>
            <w:r>
              <w:rPr>
                <w:rFonts w:ascii="Calibri" w:hAnsi="Calibri"/>
                <w:b/>
                <w:color w:val="6E8450"/>
                <w:sz w:val="17"/>
              </w:rPr>
              <w:t>RESOURCES</w:t>
            </w:r>
          </w:p>
        </w:tc>
      </w:tr>
    </w:tbl>
    <w:p>
      <w:pPr>
        <w:spacing w:before="20" w:after="20"/>
        <w:ind w:left="170"/>
      </w:pPr>
      <w:r>
        <w:rPr>
          <w:rFonts w:ascii="Calibri" w:hAnsi="Calibri"/>
          <w:b/>
          <w:color w:val="4A6B25"/>
          <w:sz w:val="15"/>
        </w:rPr>
        <w:t xml:space="preserve">1. </w:t>
      </w:r>
      <w:r>
        <w:rPr>
          <w:rFonts w:ascii="Calibri" w:hAnsi="Calibri"/>
          <w:b w:val="0"/>
          <w:color w:val="3A4A28"/>
          <w:sz w:val="17"/>
        </w:rPr>
        <w:t>HASI Q1 2026 Earnings — Adjusted earnings $102M (+31% YoY), revenue $124.2M (beat), managed assets $16.4B (+13%), portfolio yield 9.2%, EPS guidance 8-10% CAGR, May 2026</w:t>
      </w:r>
    </w:p>
    <w:p>
      <w:pPr>
        <w:spacing w:before="20" w:after="20"/>
        <w:ind w:left="170"/>
      </w:pPr>
      <w:r>
        <w:rPr>
          <w:rFonts w:ascii="Calibri" w:hAnsi="Calibri"/>
          <w:b/>
          <w:color w:val="4A6B25"/>
          <w:sz w:val="15"/>
        </w:rPr>
        <w:t xml:space="preserve">2. </w:t>
      </w:r>
      <w:r>
        <w:rPr>
          <w:rFonts w:ascii="Calibri" w:hAnsi="Calibri"/>
          <w:b w:val="0"/>
          <w:color w:val="3A4A28"/>
          <w:sz w:val="17"/>
        </w:rPr>
        <w:t>HASI Corporate — CDP 'A' Score, ACORE Leadership Award, Bloomberg Gender Equality Index, leadership transition (Eckel to Lipson March 2023), founded 1981, climate-positive mission, 2019-2026</w:t>
      </w:r>
    </w:p>
    <w:p>
      <w:pPr>
        <w:spacing w:before="20" w:after="20"/>
        <w:ind w:left="170"/>
      </w:pPr>
      <w:r>
        <w:rPr>
          <w:rFonts w:ascii="Calibri" w:hAnsi="Calibri"/>
          <w:b/>
          <w:color w:val="4A6B25"/>
          <w:sz w:val="15"/>
        </w:rPr>
        <w:t xml:space="preserve">3. </w:t>
      </w:r>
      <w:r>
        <w:rPr>
          <w:rFonts w:ascii="Calibri" w:hAnsi="Calibri"/>
          <w:b w:val="0"/>
          <w:color w:val="3A4A28"/>
          <w:sz w:val="17"/>
        </w:rPr>
        <w:t>HASI ESG &amp; Risk — Muddy Waters short report July 2022 ('ESG is for Exaggerating, Scamming, and Grifting'), accounting allegations, Yahoo Finance key statistics (D/E 222.66%, ROE 3.37%, Forward P/E 10.68x), accessed September 2026</w:t>
      </w:r>
    </w:p>
    <w:p>
      <w:pPr>
        <w:spacing w:before="400"/>
        <w:jc w:val="center"/>
      </w:pPr>
      <w:r>
        <w:rPr>
          <w:rFonts w:ascii="Calibri" w:hAnsi="Calibri"/>
          <w:b w:val="0"/>
          <w:color w:val="9DAF88"/>
          <w:sz w:val="16"/>
        </w:rPr>
        <w:t>Paradiem, LLC dba Intentional Ownership (“IOWN”) is a registered investment advisor. The information provided is for educational and informational purposes only and does not constitute investment advice.</w:t>
      </w:r>
    </w:p>
    <w:sectPr w:rsidR="00FC693F" w:rsidRPr="0006063C" w:rsidSect="00034616">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