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HCWB</w:t>
      </w:r>
      <w:r>
        <w:rPr>
          <w:rFonts w:ascii="Calibri" w:hAnsi="Calibri"/>
          <w:b/>
          <w:color w:val="1A2010"/>
          <w:sz w:val="40"/>
        </w:rPr>
        <w:t xml:space="preserve">  HCW Biologics Inc.</w:t>
      </w:r>
    </w:p>
    <w:p>
      <w:pPr>
        <w:spacing w:after="120"/>
      </w:pPr>
      <w:r>
        <w:rPr>
          <w:rFonts w:ascii="Calibri" w:hAnsi="Calibri"/>
          <w:b/>
          <w:color w:val="6E8450"/>
          <w:sz w:val="18"/>
        </w:rPr>
        <w:t>GROWTH SLEEVE · 2026-10-15 · Inspire: 23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NCM · United States</w:t>
      </w:r>
    </w:p>
    <w:p>
      <w:pPr>
        <w:spacing w:after="80"/>
      </w:pPr>
      <w:r>
        <w:rPr>
          <w:rFonts w:ascii="Calibri" w:hAnsi="Calibri"/>
          <w:b w:val="0"/>
          <w:color w:val="3A4A28"/>
          <w:sz w:val="20"/>
        </w:rPr>
        <w:t>HCW Biologics is a clinical-stage biopharmaceutical company developing novel immunotherapies for chronic low-grade inflammation and age-related diseases using its proprietary TOBI (Tissue factor-Based multi-functional biologic immunotherapy) platform. The company generated $6.7M in H1 2026 revenue almost entirely from a single Trimmune licensing deal, compared to $11,615 in the prior-year period. Cash stood at just $741K at June 30, 2026, and the company has disclosed substantial doubt about its ability to continue as a going concern.</w:t>
      </w:r>
    </w:p>
    <w:p>
      <w:r>
        <w:rPr>
          <w:rFonts w:ascii="Calibri" w:hAnsi="Calibri"/>
          <w:b/>
          <w:color w:val="6E8450"/>
          <w:sz w:val="18"/>
        </w:rPr>
        <w:t>35 Employees · https://www.hcwbiologics.com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HCW Biologics has not launched any commercial products or executed meaningful market pivots in its history; the company remains pre-commercial with no FDA-approved therapies [1]. AI Deployment (0/2): No AI deployment or AI strategy evident in any public disclosures or filings. Market Share (0/2): The company has no market share in any therapeutic category — it is entirely pre-commercial with zero marketed products [2]. Product Pipeline (1/2): The TOBI platform has generated multiple candidates targeting inflammaging and oncology, and the Trimmune licensing deal for HCW9218 demonstrates external validation of the platform's scientific merit, but no specific Phase 3 timelines or launch dates have been disclosed [1][2]. R&amp;D Intensity (1/1): As a clinical-stage biotech, virtually all operational spending is directed toward R&amp;D, placing the company well above industry average as a percentage of revenue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HCW Biologics describes its purpose as developing novel immunotherapies to address chronic inflammation and age-related diseases — a clear but generic biotech mission interchangeable with dozens of peers [3]. Community Impact (0/2): No evidence of charitable programs, community investment, or corporate philanthropy found in any public materials or filings. Employee Retention (0/2): With only 35 employees and no publicly available retention data, Glassdoor reviews, or tenure information, this item cannot be scored [3]. Insider Buying (0/2): Founder-CEO Hing C. Wong owns approximately 26.5% of outstanding shares, but no evidence of net insider buying in the last 12 months was found — existing ownership reflects founding equity, not recent conviction purchases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404,549 shares at $1.17 yields daily dollar volume of approximately $473K, well below the $1M minimum threshold required by IOWN [2]. Infrastructure score is automatically set to 0 regardless of other metrics. The underlying financials are severely distressed: the company reported a net loss of $13.4M in H1 2026, holds only $741K in cash with going concern doubt disclosed, profit margin is -83%, ROE is -151%, and D/E stands at 88% [1][2]. Revenue of $6.7M in H1 2026 came almost entirely from a single Trimmune licensing deal in Q1, with Q2 revenue of just $136K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HCW Biologics is a survival-mode micro-cap biotech with $741K in cash and going concern doubt — the company is playing to survive the next quarter, not to endure. While founder-CEO Wong's 26.5% ownership shows personal commitment, the company lacks the organizational depth, financial runway, or strategic track record to demonstrate infinite game thinking across any of Sinek's five dimensions.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company's stated purpose of developing immunotherapies for chronic inflammation and aging is a legitimate scientific mission, but it reads as standard biotech boilerplate rather than a distinctive Just Cause [3]. The inflammaging thesis is shared by numerous competitors, and there is no evidence that this purpose drives strategic decisions beyond basic drug development. The company has not demonstrated the resilience, inclusivity, or idealism that Sinek requires of a true Just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35 employees and no publicly available information on company culture, employee satisfaction, voluntary turnover, or organizational practices, this dimension cannot be scored [3][4]. The going concern doubt and cash crisis of $741K create inherent organizational instability that undermines any potential trust-building.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company's limited public communications focus on its own pipeline rather than acknowledging or learning from competitors' strengths in the inflammaging or immunotherapy space [3].</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company is too young and financially constrained to have faced or demonstrated existential flexibility. With $741K in cash and survival-level funding, strategic pivots are driven by necessity rather than vision [1][2]. The Trimmune licensing deal is a cash-raising measure, not a strategic reinvention.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bets or principled decisions that sacrifice near-term results. The company's actions — reverse stock splits to maintain Nasdaq listing compliance, one-off licensing deals to fund operations — reflect survival tactics rather than strategic courage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HCW Biologics at $1.17 with a $2.6M market cap is a clinical-stage micro-cap biotech whose sole value proposition rests on the TOBI immunotherapy platform and a Phase 2b-ready pipeline targeting inflammaging and oncology. The Q1 2026 Trimmune licensing deal validated the platform with $3.5M in cash plus $3.5M in equity, and the company's lead candidates (HCW9218 for cancer/infections) address a growing scientific interest in chronic low-grade inflammation as a root cause of age-related diseases [1][2].</w:t>
      </w:r>
    </w:p>
    <w:p>
      <w:pPr>
        <w:spacing w:after="120"/>
      </w:pPr>
      <w:r>
        <w:rPr>
          <w:rFonts w:ascii="Calibri" w:hAnsi="Calibri"/>
          <w:b w:val="0"/>
          <w:color w:val="3A4A28"/>
          <w:sz w:val="20"/>
        </w:rPr>
        <w:t>The bear case is existential: the company held just $741K in cash at June 30, 2026, has disclosed going concern doubt, and generated only $136K in Q2 revenue after the one-time Trimmune deal boosted Q1 [1][2]. The daily dollar trading volume of ~$473K triggers the IOWN liquidity floor, making the stock untradeable for any portfolio of meaningful size. With 35 employees, no commercial products, negative ROE of -151%, and a history of reverse stock splits to maintain Nasdaq listing compliance, HCWB represents speculative exposure to a single platform bet with inadequate capital to reach value-creating milestones [2][4]. Dilutive financing or delisting remain the most probable near-term outcomes.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Potential Phase 3 initiation for an inflammaging or oncology candidate — any IND filing or FDA interaction could rerate the stock given the sub-$3M market cap, though funding for a Phase 3 trial is not currently available [1]</w:t>
      </w:r>
    </w:p>
    <w:p>
      <w:pPr>
        <w:spacing w:before="40" w:after="40"/>
        <w:ind w:left="283"/>
      </w:pPr>
      <w:r>
        <w:rPr>
          <w:rFonts w:ascii="Calibri" w:hAnsi="Calibri"/>
          <w:b/>
          <w:color w:val="4A6B25"/>
          <w:sz w:val="20"/>
        </w:rPr>
        <w:t xml:space="preserve">2. </w:t>
      </w:r>
      <w:r>
        <w:rPr>
          <w:rFonts w:ascii="Calibri" w:hAnsi="Calibri"/>
          <w:b w:val="0"/>
          <w:color w:val="3A4A28"/>
          <w:sz w:val="20"/>
        </w:rPr>
        <w:t>Additional licensing deals or partnerships for TOBI platform assets — the Trimmune deal demonstrated third-party interest, and further out-licensing could provide non-dilutive capital and pipeline validation [1][2]</w:t>
      </w:r>
    </w:p>
    <w:p>
      <w:pPr>
        <w:spacing w:before="40" w:after="40"/>
        <w:ind w:left="283"/>
      </w:pPr>
      <w:r>
        <w:rPr>
          <w:rFonts w:ascii="Calibri" w:hAnsi="Calibri"/>
          <w:b/>
          <w:color w:val="4A6B25"/>
          <w:sz w:val="20"/>
        </w:rPr>
        <w:t xml:space="preserve">3. </w:t>
      </w:r>
      <w:r>
        <w:rPr>
          <w:rFonts w:ascii="Calibri" w:hAnsi="Calibri"/>
          <w:b w:val="0"/>
          <w:color w:val="3A4A28"/>
          <w:sz w:val="20"/>
        </w:rPr>
        <w:t>Capital raise at terms that avoid excessive dilution — any strategic investment or partnership with milestone payments could extend the cash runway beyond the current going-concern timeline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doubt with only $741K cash at June 30, 2026 — the company cannot fund operations through Q4 2026 without additional financing, and any capital raise at a $2.6M market cap will be massively dilutive to existing shareholders [1][2]</w:t>
      </w:r>
    </w:p>
    <w:p>
      <w:pPr>
        <w:spacing w:before="40" w:after="40"/>
        <w:ind w:left="283"/>
      </w:pPr>
      <w:r>
        <w:rPr>
          <w:rFonts w:ascii="Calibri" w:hAnsi="Calibri"/>
          <w:b/>
          <w:color w:val="4A6B25"/>
          <w:sz w:val="20"/>
        </w:rPr>
        <w:t xml:space="preserve">2. </w:t>
      </w:r>
      <w:r>
        <w:rPr>
          <w:rFonts w:ascii="Calibri" w:hAnsi="Calibri"/>
          <w:b w:val="0"/>
          <w:color w:val="3A4A28"/>
          <w:sz w:val="20"/>
        </w:rPr>
        <w:t>Complete dependence on a single licensing deal for 2026 revenue — Q2 revenue of $136K demonstrates the company has no recurring revenue engine, and future quarters depend entirely on new deals materializing [1][2]</w:t>
      </w:r>
    </w:p>
    <w:p>
      <w:pPr>
        <w:spacing w:before="40" w:after="40"/>
        <w:ind w:left="283"/>
      </w:pPr>
      <w:r>
        <w:rPr>
          <w:rFonts w:ascii="Calibri" w:hAnsi="Calibri"/>
          <w:b/>
          <w:color w:val="4A6B25"/>
          <w:sz w:val="20"/>
        </w:rPr>
        <w:t xml:space="preserve">3. </w:t>
      </w:r>
      <w:r>
        <w:rPr>
          <w:rFonts w:ascii="Calibri" w:hAnsi="Calibri"/>
          <w:b w:val="0"/>
          <w:color w:val="3A4A28"/>
          <w:sz w:val="20"/>
        </w:rPr>
        <w:t>Nasdaq delisting risk — the company recently regained compliance but remains vulnerable to minimum bid price or market cap listing requirements given the $1.17 share price and micro-cap status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Drug development is structurally protected from AI substitution by FDA regulatory requirements, physical clinical trial processes, and biologic manufacturing complexity that AI cannot replace [4]. HCW Biologics' TOBI immunotherapy platform involves novel protein engineering and in vivo biology that requires wet-lab validation impossible to simulate digitally. However, AI-driven drug discovery competitors (Recursion, Insilico Medicine) could accelerate rival programs in the inflammaging space, and the company's tiny size offers no competitive moat against better-funded AI-enabled biotechs. AI Opportunity (0/1): No AI-related revenue or AI-powered products. The company has not disclosed any AI integration in its drug discovery or development processes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23</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HCW Biologics Q1 2026 Earnings Release (Form 8-K), SEC, February 2026</w:t>
      </w:r>
    </w:p>
    <w:p>
      <w:pPr>
        <w:spacing w:before="20" w:after="20"/>
        <w:ind w:left="170"/>
      </w:pPr>
      <w:r>
        <w:rPr>
          <w:rFonts w:ascii="Calibri" w:hAnsi="Calibri"/>
          <w:b/>
          <w:color w:val="4A6B25"/>
          <w:sz w:val="15"/>
        </w:rPr>
        <w:t xml:space="preserve">2. </w:t>
      </w:r>
      <w:r>
        <w:rPr>
          <w:rFonts w:ascii="Calibri" w:hAnsi="Calibri"/>
          <w:b w:val="0"/>
          <w:color w:val="3A4A28"/>
          <w:sz w:val="17"/>
        </w:rPr>
        <w:t>HCW Biologics Q2 2026 Financial Results Summary, Quartr, August 2026</w:t>
      </w:r>
    </w:p>
    <w:p>
      <w:pPr>
        <w:spacing w:before="20" w:after="20"/>
        <w:ind w:left="170"/>
      </w:pPr>
      <w:r>
        <w:rPr>
          <w:rFonts w:ascii="Calibri" w:hAnsi="Calibri"/>
          <w:b/>
          <w:color w:val="4A6B25"/>
          <w:sz w:val="15"/>
        </w:rPr>
        <w:t xml:space="preserve">3. </w:t>
      </w:r>
      <w:r>
        <w:rPr>
          <w:rFonts w:ascii="Calibri" w:hAnsi="Calibri"/>
          <w:b w:val="0"/>
          <w:color w:val="3A4A28"/>
          <w:sz w:val="17"/>
        </w:rPr>
        <w:t>HCW Biologics Leadership and Corporate Page, hcwbiologics.com,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HCW Biologics Nasdaq Compliance and Clinical Progress Analysis, Panabee/BioSpace, March-August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