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HESM</w:t>
      </w:r>
      <w:r>
        <w:rPr>
          <w:rFonts w:ascii="Calibri" w:hAnsi="Calibri"/>
          <w:b/>
          <w:color w:val="1A2010"/>
          <w:sz w:val="40"/>
        </w:rPr>
        <w:t xml:space="preserve">  Hess Midstream LP</w:t>
      </w:r>
    </w:p>
    <w:p>
      <w:pPr>
        <w:spacing w:after="120"/>
      </w:pPr>
      <w:r>
        <w:rPr>
          <w:rFonts w:ascii="Calibri" w:hAnsi="Calibri"/>
          <w:b/>
          <w:color w:val="6E8450"/>
          <w:sz w:val="18"/>
        </w:rPr>
        <w:t>DIVIDEND SLEEVE · 2026-09-20 · Inspire: 17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United States</w:t>
      </w:r>
    </w:p>
    <w:p>
      <w:pPr>
        <w:spacing w:after="80"/>
      </w:pPr>
      <w:r>
        <w:rPr>
          <w:rFonts w:ascii="Calibri" w:hAnsi="Calibri"/>
          <w:b w:val="0"/>
          <w:color w:val="3A4A28"/>
          <w:sz w:val="20"/>
        </w:rPr>
        <w:t>Hess Midstream LP is a fee-based, growth-oriented midstream company that owns, operates, and develops midstream assets providing gathering, processing, storage, terminaling, and water handling services primarily in the Bakken and Three Forks Shale plays in North Dakota. Following the Hess-Chevron merger, Chevron beneficially owns approximately 37.8%. Q2 2026 revenue was $399M with net income of $174M and 85% EBITDA margin. 2026 guidance: Adjusted EBITDA $1,225-1,275M, Adjusted FCF $910-960M, net income $650-700M. Distribution of $0.7888/unit in Q2, with at least 5% annual DPS growth committed through 2028.</w:t>
      </w:r>
    </w:p>
    <w:p>
      <w:r>
        <w:rPr>
          <w:rFonts w:ascii="Calibri" w:hAnsi="Calibri"/>
          <w:b/>
          <w:color w:val="6E8450"/>
          <w:sz w:val="18"/>
        </w:rPr>
        <w:t>https://www.hessmidstream.com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Hess Midstream completed its planned multiyear Bakken infrastructure buildout, adding gas processing and gathering capacity to support Chevron's production growth, and has been expanding third-party services revenue to diversify beyond the captive Chevron relationship [1][2]. This represents significant capital execution but no business model transformation or new product categories — the company builds and operates pipelines, same as at formation. AI Deployment (0/2): No AI-powered products or quantified AI-driven savings reported. The company's SEC filings flag AI adoption as a generic operational risk rather than an opportunity being actively pursued [5]. Market Share (1/2): Dominant midstream operator in the Bakken basin serving as the primary infrastructure provider for Chevron's production. Q2 2026 showed continued expansion of third-party services, though this is fundamentally a captive relationship rather than market share won in open competition [1]. Product Pipeline (0/2): With the buildout complete, the company has pivoted to FCF generation with substantially lower future capital spending. 2026 guidance focuses on cash return, not infrastructure expansion, and no next-generation projects are announced [3]. R&amp;D Intensity (0/1): Midstream pipeline companies do not conduct traditional R&amp;D — innovation is limited to operational efficiency improvements.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Hess Midstream describes itself as a 'fee-based, growth-oriented midstream company' focused on providing services to Chevron and third-party customers [3]. This is a purely operational description with no articulated purpose beyond moving hydrocarbons and distributing cash to unitholders, interchangeable with any midstream MLP peer. Community &amp; Charitable Impact (0/2): The company publishes a Sustainability Report covering environmental performance and safety metrics, but no charitable programs, community investment, or foundation activity was identified beyond standard operational safety training [5]. Employee Retention (0/2): No publicly available data on employee tenure, voluntary turnover, or workforce culture metrics. The lean corporate structure limits public visibility into organizational culture. Insider Buying (0/2): The September 2025 resignation of COO John Gatling, who had sold 62,457 shares for $2.6M shortly before departing, and net insider selling in the prior 12 months signal limited insider conviction [4]. Zero open-market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Strong profitability with 23.2% net profit margin and 150.7% ROE, both well above targets, driven by the MLP's thin equity base and fee-based revenue model [6]. Forward P/E of 12.98 is well below the 20 target [6]. Q2 2026 revenue of $399M declined modestly from $414.2M a year earlier as lower Bakken throughput volumes were partly offset by higher tariff rates and third-party services, with YoY revenue growth at -3.7%, scoring 0.54 against the 10% target [1]. Five-year revenue CAGR of approximately 7.7% scores well. D/E of 948.5% reflects the MLP capital structure with $3.8B+ debt against minimal equity, scoring 0 on this metric — typical for MLP structures but penalized by the algorithm [6]. GAAP payout ratio exceeds 100% (common where distributable cash flow exceeds net income due to non-cash depreciation), scoring 0 [6]. Distribution history of 8 consecutive years paid with 8 consecutive years of growth, and 5yr dividend growth CAGR of approximately 10%, all score strongly with 2x weight on years paid and growth CAGR. Liquidity cleared: ~1.09M avg volume x $40.16 = $43.8M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Hess Midstream is a textbook finite player. The company exists to distribute cash to unitholders and maximize near-term distributable cash flow. There is no Just Cause, no vision of a better future, and no evidence of strategic thinking beyond quarterly distribution coverage ratios and capital return programs [3]. The leadership transition from Hess to Chevron-appointed management (CEO Jonathan Stein, COO Michael Bast) reinforces the company's role as a financial vehicle rather than a purpose-driven enterprise [4].</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Hess Midstream's stated purpose is to provide midstream services and return capital to unitholders through growing distributions [3]. There is no articulated vision of a better future, no mission beyond operational efficiency and cash distribution. The Hess-Chevron merger transition reduced any sense of independent purpose — the company is increasingly a subsidiary cash-generating vehicle for Chevron's Bakken operations, governed by Chevron-appointed leadership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emphasizes a 'safety culture of ownership' with frontline safety leadership training programs and published sustainability metrics [5]. Q2 2026 operational performance (85% EBITDA margin) suggests effective team execution. However, the lean corporate structure, MLP governance model, and post-merger leadership changes (Gatling resignation, Chevron appointees) limit the scope for deeper organizational trust-building. No specific data on employee tenure, voluntary turnover, or cultural surveys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learning mindset. Hess Midstream operates in a captive arrangement with Chevron as its dominant customer and the company does not compete for throughput in open markets the way merchant midstream operators do. Management commentary focuses on throughput volumes, distribution coverage, and capital return programs rather than competitive dynamics or learning from rival midstream operators [1][3].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 evidence of strategic pivots or willingness to transform the business model. Hess Midstream operates the same gathering, processing, and storage assets it was formed to own [1]. The shift from 'infrastructure buildout' to 'FCF generation' is an operational lifecycle transition, not a strategic transformation [3]. The MLP structure inherently limits flexibility as the entity is designed to hold and operate fixed infrastructure assets in a single basin, with distribution obligations constraining capital reallocation.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company committed to and completed a multi-billion dollar multiyear infrastructure buildout during a period of oil price volatility, demonstrating capital discipline and long-term commitment to asset development [1][3]. The smooth leadership transition post-Chevron merger — CEO Jonathan Stein, COO Michael Bast replacing John Gatling — maintained operational continuity [4]. However, these are expected MLP management actions, not examples of sacrificing near-term returns for long-term capability or making principled stands that cost money.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Hess Midstream is a well-executed midstream MLP transitioning from infrastructure buildout to free cash flow harvesting, with Q2 2026 delivering $174M net income on $399M revenue at an 85% EBITDA margin [1]. Full-year 2026 guidance of $1,225-1,275M Adjusted EBITDA and $910-960M Adjusted FCF provides earnings visibility, with management committing to at least 5% annual distribution growth through 2028 fully funded from FCF [3]. The 7.85% yield with 8 consecutive years of distribution growth (historically ~10% CAGR) is well-supported by fee-based, minimum volume commitment contracts with Chevron. At forward P/E of 12.98 with 23.2% profit margins, the valuation is attractive for a stable infrastructure asset [6]. AI data center electricity demand provides a secular tailwind for natural gas production and midstream throughput volumes.</w:t>
      </w:r>
    </w:p>
    <w:p>
      <w:pPr>
        <w:spacing w:after="120"/>
      </w:pPr>
      <w:r>
        <w:rPr>
          <w:rFonts w:ascii="Calibri" w:hAnsi="Calibri"/>
          <w:b w:val="0"/>
          <w:color w:val="3A4A28"/>
          <w:sz w:val="20"/>
        </w:rPr>
        <w:t>The bear case centers on structural leverage, revenue decline, single-basin concentration, and sponsor dependence. D/E of 948.5% reflects the MLP capital structure with $3.8B+ debt against minimal equity — while typical for MLPs, any sustained throughput decline would stress distribution coverage [6]. Q2 2026 revenue of $399M declined from $414.2M a year earlier (-3.7% YoY) as lower Bakken throughput volumes partly offset tariff increases and third-party growth, raising questions about the production trajectory [1]. Customer concentration risk is acute: Chevron represents the overwhelming majority of throughput, making HESM essentially a single-customer business dependent on Chevron's Bakken production decisions post-merger [4]. Distribution growth is moderating from historical ~10% to guided 5%, and the GAAP payout ratio exceeding 100% (a function of MLP accounting) limits financial flexibility [3][6]. The Innovation score of 2, Inspiration score of 1, and Infinite Game score of 2 reflect that HESM is a cash distribution vehicle, not a purpose-driven enterprise — the IOWN framework structurally penalizes MLPs that lack innovation, mission, and strategic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FCF generation phase with Adjusted FCF of $910-960M in 2026 enabling at least 5% annual distribution growth through 2028, fully self-funded without equity issuance [3]</w:t>
      </w:r>
    </w:p>
    <w:p>
      <w:pPr>
        <w:spacing w:before="40" w:after="40"/>
        <w:ind w:left="283"/>
      </w:pPr>
      <w:r>
        <w:rPr>
          <w:rFonts w:ascii="Calibri" w:hAnsi="Calibri"/>
          <w:b/>
          <w:color w:val="4A6B25"/>
          <w:sz w:val="20"/>
        </w:rPr>
        <w:t xml:space="preserve">2. </w:t>
      </w:r>
      <w:r>
        <w:rPr>
          <w:rFonts w:ascii="Calibri" w:hAnsi="Calibri"/>
          <w:b w:val="0"/>
          <w:color w:val="3A4A28"/>
          <w:sz w:val="20"/>
        </w:rPr>
        <w:t>AI data center electricity demand boom driving increased Bakken natural gas production and midstream throughput volumes, potentially exceeding minimum volume commitments and generating upside revenue [5]</w:t>
      </w:r>
    </w:p>
    <w:p>
      <w:pPr>
        <w:spacing w:before="40" w:after="40"/>
        <w:ind w:left="283"/>
      </w:pPr>
      <w:r>
        <w:rPr>
          <w:rFonts w:ascii="Calibri" w:hAnsi="Calibri"/>
          <w:b/>
          <w:color w:val="4A6B25"/>
          <w:sz w:val="20"/>
        </w:rPr>
        <w:t xml:space="preserve">3. </w:t>
      </w:r>
      <w:r>
        <w:rPr>
          <w:rFonts w:ascii="Calibri" w:hAnsi="Calibri"/>
          <w:b w:val="0"/>
          <w:color w:val="3A4A28"/>
          <w:sz w:val="20"/>
        </w:rPr>
        <w:t>Third-party customer expansion beyond Chevron diversifying revenue and reducing single-customer concentration risk, as evidenced by Q2 2026 growth in third-party services offsetting Chevron volume declines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Customer concentration: Chevron controls ~37.8% of HESM and represents the dominant share of throughput — any reduction in Chevron's Bakken production plans would directly impair volumes and cash flow [4]</w:t>
      </w:r>
    </w:p>
    <w:p>
      <w:pPr>
        <w:spacing w:before="40" w:after="40"/>
        <w:ind w:left="283"/>
      </w:pPr>
      <w:r>
        <w:rPr>
          <w:rFonts w:ascii="Calibri" w:hAnsi="Calibri"/>
          <w:b/>
          <w:color w:val="4A6B25"/>
          <w:sz w:val="20"/>
        </w:rPr>
        <w:t xml:space="preserve">2. </w:t>
      </w:r>
      <w:r>
        <w:rPr>
          <w:rFonts w:ascii="Calibri" w:hAnsi="Calibri"/>
          <w:b w:val="0"/>
          <w:color w:val="3A4A28"/>
          <w:sz w:val="20"/>
        </w:rPr>
        <w:t>Revenue declining 3.7% YoY in Q2 2026 as Bakken throughput volumes fell, with D/E of 948.5% and GAAP payout ratio exceeding 100% leaving limited margin of safety if volumes continue declining [1][6]</w:t>
      </w:r>
    </w:p>
    <w:p>
      <w:pPr>
        <w:spacing w:before="40" w:after="40"/>
        <w:ind w:left="283"/>
      </w:pPr>
      <w:r>
        <w:rPr>
          <w:rFonts w:ascii="Calibri" w:hAnsi="Calibri"/>
          <w:b/>
          <w:color w:val="4A6B25"/>
          <w:sz w:val="20"/>
        </w:rPr>
        <w:t xml:space="preserve">3. </w:t>
      </w:r>
      <w:r>
        <w:rPr>
          <w:rFonts w:ascii="Calibri" w:hAnsi="Calibri"/>
          <w:b w:val="0"/>
          <w:color w:val="3A4A28"/>
          <w:sz w:val="20"/>
        </w:rPr>
        <w:t>Distribution growth moderating from historical ~10% annual rate to guided 'at least 5%' through 2028, which may fail to keep pace with investor expectations or competing income alternatives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Hess Midstream's core business of gathering, processing, storing, and transporting oil, gas, and produced water is entirely physical infrastructure that AI structurally cannot substitute [1]. Pipelines, compressor stations, gas processing plants, and storage terminals require real-world engineering and operations that are immune to AI disruption. FCC-style regulatory barriers do not apply, but long-term minimum volume commitment contracts with Chevron and the physical nature of the assets create equivalent protection. Midstream energy has been identified as an 'overlooked beneficiary of the AI boom' — AI data center buildouts are driving massive increases in electricity and natural gas demand, directly increasing throughput for midstream operators [5]. The company's SEC filings mention generic AI risks (biased outputs, cybersecurity) as standard disclosures but no analysts flag AI as a disruption threat to midstream operations. AI Opportunity (0/1): No AI revenue. The company is not developing or deploying AI-powered products or services — it operates physical infrastructure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17</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Hess Midstream Q2 FY2026 Earnings — Revenue $399M (vs. $414.2M prior year), Net Income $174M, 85% EBITDA Margin, Distribution $0.7888/unit, StockTitan/TradingKey, August 2026</w:t>
      </w:r>
    </w:p>
    <w:p>
      <w:pPr>
        <w:spacing w:before="20" w:after="20"/>
        <w:ind w:left="170"/>
      </w:pPr>
      <w:r>
        <w:rPr>
          <w:rFonts w:ascii="Calibri" w:hAnsi="Calibri"/>
          <w:b/>
          <w:color w:val="4A6B25"/>
          <w:sz w:val="15"/>
        </w:rPr>
        <w:t xml:space="preserve">2. </w:t>
      </w:r>
      <w:r>
        <w:rPr>
          <w:rFonts w:ascii="Calibri" w:hAnsi="Calibri"/>
          <w:b w:val="0"/>
          <w:color w:val="3A4A28"/>
          <w:sz w:val="17"/>
        </w:rPr>
        <w:t>Hess Midstream Q1 FY2026 Earnings — FCF Guidance Lifted, Distribution Increase, Grafa/StockTitan,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Hess Midstream 2026 Guidance — Adjusted EBITDA $1,225-1,275M, Adj. FCF $910-960M, Net Income $650-700M, 5% Annual DPS Growth Through 2028, Company IR, January 2026</w:t>
      </w:r>
    </w:p>
    <w:p>
      <w:pPr>
        <w:spacing w:before="20" w:after="20"/>
        <w:ind w:left="170"/>
      </w:pPr>
      <w:r>
        <w:rPr>
          <w:rFonts w:ascii="Calibri" w:hAnsi="Calibri"/>
          <w:b/>
          <w:color w:val="4A6B25"/>
          <w:sz w:val="15"/>
        </w:rPr>
        <w:t xml:space="preserve">4. </w:t>
      </w:r>
      <w:r>
        <w:rPr>
          <w:rFonts w:ascii="Calibri" w:hAnsi="Calibri"/>
          <w:b w:val="0"/>
          <w:color w:val="3A4A28"/>
          <w:sz w:val="17"/>
        </w:rPr>
        <w:t>Hess Midstream Leadership Changes — CEO Jonathan Stein (succeeding John B. Hess), COO Michael Bast (replacing John Gatling), Chevron 37.8% Ownership, Investing.com/TipRanks, 2025</w:t>
      </w:r>
    </w:p>
    <w:p>
      <w:pPr>
        <w:spacing w:before="20" w:after="20"/>
        <w:ind w:left="170"/>
      </w:pPr>
      <w:r>
        <w:rPr>
          <w:rFonts w:ascii="Calibri" w:hAnsi="Calibri"/>
          <w:b/>
          <w:color w:val="4A6B25"/>
          <w:sz w:val="15"/>
        </w:rPr>
        <w:t xml:space="preserve">5. </w:t>
      </w:r>
      <w:r>
        <w:rPr>
          <w:rFonts w:ascii="Calibri" w:hAnsi="Calibri"/>
          <w:b w:val="0"/>
          <w:color w:val="3A4A28"/>
          <w:sz w:val="17"/>
        </w:rPr>
        <w:t>Hess Midstream Sustainability Report and AI Data Center Energy Demand — ESG Commitments, Climate Litigation Risks, AI Tailwinds, BusinessWire/Company Website, 2025</w:t>
      </w:r>
    </w:p>
    <w:p>
      <w:pPr>
        <w:spacing w:before="20" w:after="20"/>
        <w:ind w:left="170"/>
      </w:pPr>
      <w:r>
        <w:rPr>
          <w:rFonts w:ascii="Calibri" w:hAnsi="Calibri"/>
          <w:b/>
          <w:color w:val="4A6B25"/>
          <w:sz w:val="15"/>
        </w:rPr>
        <w:t xml:space="preserve">6. </w:t>
      </w:r>
      <w:r>
        <w:rPr>
          <w:rFonts w:ascii="Calibri" w:hAnsi="Calibri"/>
          <w:b w:val="0"/>
          <w:color w:val="3A4A28"/>
          <w:sz w:val="17"/>
        </w:rPr>
        <w:t>Yahoo Finance — HESM Key Statistics: Forward P/E 12.98x, Trailing P/E 13.85x, ROE 150.7%, D/E 948.5%, Profit Margin 23.2%, Stock Price $40.16,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