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HHH</w:t>
      </w:r>
      <w:r>
        <w:rPr>
          <w:rFonts w:ascii="Calibri" w:hAnsi="Calibri"/>
          <w:b/>
          <w:color w:val="1A2010"/>
          <w:sz w:val="40"/>
        </w:rPr>
        <w:t xml:space="preserve">  Howard Hughes Holdings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16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Real Estate - Development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Howard Hughes Holdings owns master planned communities (Summerlin, Bridgeland), operating assets and condominium developments, and is being transformed by Pershing Square into a Berkshire-style holding company built around Vantage insurance. Q2 2026 revenue was $1.12B (+330% YoY) on condo closings, Q1 MPC EBT rose 33% to $84.4M, and 2026 condo revenue is guided to $720-750M.</w:t>
      </w:r>
    </w:p>
    <w:p>
      <w:r>
        <w:rPr>
          <w:rFonts w:ascii="Calibri" w:hAnsi="Calibri"/>
          <w:b/>
          <w:color w:val="6E8450"/>
          <w:sz w:val="18"/>
        </w:rPr>
        <w:t>https://www.howardhughes.com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2: strategic transformation into a permanent-capital holding company led by Pershing Square with Vantage insurer at its center [2]. Share 1: leading MPC land seller in Summerlin and Bridgeland (MPC EBT +33%) [1]. Pipeline 2: 2026 guidance of $720-750M condo revenue and $279-290M operating asset NOI [1]. No AI deployment (0) or R&amp;D (0).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2: place-making for communities, clear but not distinctive [1]. Community 1: general community development at scale. Insider conviction 2: Executive Chairman Bill Ackman's Pershing Square has repeatedly increased its stake, a roughly $900M commitment [2]; no retention data.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(growth weights, 10 units): D/E 135% = 0.72; ROE 7.5% = 0.50 (2x); revenue YoY 330% = 1.0; forward P/E 70 = 0.0; margin 12.3% = 0.62; 5yr CAGR and PEG unavailable. Weighted 3.33/6 = 5.5, rounded to 6.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Controlled by Pershing Square with a mandate to build a perpetual holding company; long-term capital orientation but quarterly lumpiness and transition risk.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Building enduring communities and a permanent-capital compounder is a distinctive long-horizon goal, but the holding-company identity is only 18 months old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Management team under CEO David O'Reilly was retained through the Pershing transition; no culture survey data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Capital allocation framed around Buffett-style winning; no evidence of worthy-rival mindset.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Transforming a real estate developer into a Berkshire-style insurance-led holding company is a fundamental reinvention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Plans to sell up to $4B of real estate to fund insurance acquisitions despite near-term earnings dilution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Q2 2026 revenue reached $1.12B (+330%) on condo closings, MPC EBT grew 33% in Q1 to $84.4M, and 2026 NOI guidance is $279-290M [1]. Pershing Square's control and plan to redeploy real estate cash into Vantage insurance could compound book value like early Berkshire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Forward P/E is 70x, D/E is 135%, ROE is only 7.5%, and Q1 net income fell 25% to $8.7M on higher interest costs [1]. Revenue is lumpy from condo closings, the insurance pivot is unproven, and the stock already reflects the Ackman premium.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Execution of $720-750M condo closings and MPC land sales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Vantage insurance acquisitions funded by asset sales of up to $4B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Pershing Square capital allocation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Lumpy condo revenue and elevated interest costs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Unproven insurance operating model under holding company transition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Valuation at 70x forward earnings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Master planned communities, condos and operating assets are physical-world businesses with no AI substitution risk; the filings flag only execution risk of adopting AI too slowly versus competitors [2]. No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16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Howard Hughes Holdings Q1 and Q2 2026 Earnings Releases, SEC 8-K and Simply Wall St,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Pershing Square and Howard Hughes transformation, CoStar/Commercial Property Executive/Hedgeweek,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