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HIG</w:t>
      </w:r>
      <w:r>
        <w:rPr>
          <w:rFonts w:ascii="Calibri" w:hAnsi="Calibri"/>
          <w:b/>
          <w:color w:val="1A2010"/>
          <w:sz w:val="40"/>
        </w:rPr>
        <w:t xml:space="preserve">  The Hartford Insurance Group, Inc.</w:t>
      </w:r>
    </w:p>
    <w:p>
      <w:pPr>
        <w:spacing w:after="120"/>
      </w:pPr>
      <w:r>
        <w:rPr>
          <w:rFonts w:ascii="Calibri" w:hAnsi="Calibri"/>
          <w:b/>
          <w:color w:val="6E8450"/>
          <w:sz w:val="18"/>
        </w:rPr>
        <w:t>GROWTH SLEEVE · 2026-09-18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Diversified · NYSE · United States</w:t>
      </w:r>
    </w:p>
    <w:p>
      <w:pPr>
        <w:spacing w:after="80"/>
      </w:pPr>
      <w:r>
        <w:rPr>
          <w:rFonts w:ascii="Calibri" w:hAnsi="Calibri"/>
          <w:b w:val="0"/>
          <w:color w:val="3A4A28"/>
          <w:sz w:val="20"/>
        </w:rPr>
        <w:t>The Hartford Insurance Group is a diversified insurance and financial services company founded in 1810, providing commercial property &amp; casualty insurance, workers' compensation, personal auto and homeowners coverage, group benefits (life, disability), and mutual funds through Hartford Funds. Under CEO Christopher Swift since 2014, the company transformed from a crisis-era conglomerate into a focused P&amp;C and employee benefits insurer. Q2 2026 core earnings reached $945M ($3.42/share), beating estimates, with Business Insurance delivering $695M in core earnings and small business written premium growing 7%. Market cap ~$35.6B.</w:t>
      </w:r>
    </w:p>
    <w:p>
      <w:r>
        <w:rPr>
          <w:rFonts w:ascii="Calibri" w:hAnsi="Calibri"/>
          <w:b/>
          <w:color w:val="6E8450"/>
          <w:sz w:val="18"/>
        </w:rPr>
        <w:t>19,200 Employees · https://www.thehartford.com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Christopher Swift, The Hartford executed a transformative post-financial-crisis restructuring, divesting its entire life insurance and annuities business to Talcott Resolution and becoming a focused P&amp;C and employee benefits insurer — a pivot that rebuilt shareholder value from the 2008-2009 near-collapse [1]. More recently, the company has expanded into specialty commercial lines and built digital distribution for small business, driving 7% small business written premium growth in Q2 2026. AI Deployment (1/2): The Hartford has adopted an 'AI-first mindset' with an AI Accelerator serving as its innovation hub and a dedicated Chief Data, AI and Operations Officer (Jeffery Hawkins) driving enterprise-wide AI deployment across claims, underwriting, and operations [2]. CEO Swift committed publicly to leading the insurance industry in AI, with company-wide AI education programs. However, no specific AI-driven revenue or quantified cost savings have been disclosed. Market Share (1/2): The Hartford is a top-10 U.S. P&amp;C insurer with particular strength in workers' compensation and small commercial insurance, where written premium grew 7% in Q2 2026 with an underlying combined ratio of 86.5 [1]. Meaningful participant but not the category leader. Product Pipeline (0/2): No specific next-generation products with named timelines announced — insurance product innovation is incremental rather than platform-driven. R&amp;D Intensity (0/1): Insurance companies do not report traditional R&amp;D; technology investment is embedded in operating expenses with no disclosed intensity metric.</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The Hartford's purpose — helping people and businesses prepare for and recover from the unexpected — is clear and identifies the company's role in economic resilience, but it is not distinctive among insurance peers [3]. Any major insurer could claim the same statement, and it does not articulate a deeper vision of a future state beyond the company's core function. Community Impact (1/2): The Hartford Foundation for Public Giving, U.S. Paralympic team partnership, and disability employment programs demonstrate corporate philanthropy, alongside a four-pillar sustainability strategy (communities, diversity, ethics, environment) with Board-level governance [3]. However, no specific dollar amounts for charitable giving or measurable community impact outcomes were identified. Employee Retention (1/2): CEO Swift has led the company for 12 years with a stable senior leadership team, and The Hartford was ranked #2 Best Place to Work in IT by Computerworld [2]. The company employs 19,200 people and is investing in AI education for all employees rather than replacement. No specific turnover or tenure data available. Insider Buying (0/2): CEO Swift sold 40,693 shares at approximately $138 in recent insider transactions — routine compensation-related selling with no evidence of meaningful net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1.83% below 2% threshold). Exceptional financial profile: D/E of 22.33% is deeply conservative, scoring 1.0 against the 70% target [4]. ROE of 22.06% exceeds the 15% target (1.0, 2x weight). Forward P/E of 9.61x is well below the 20x target (1.0). PEG ratio of 0.12 reflects extreme value relative to 36.1% earnings growth (1.0, 2x weight). Revenue growth YoY of 8.1% is slightly below the 10% target (0.94). Estimated 5-year revenue CAGR of ~8% reflects steady premium growth (0.87, 2x weight). Profit margin of 14.89% is below the 20% target (0.74) — typical for insurance where loss ratios consume the majority of premium revenue. Liquidity floor easily cleared at ~$203M daily trading value. Weighted sum: 9.42/10 = Infrastructure 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The Hartford is a 216-year-old institution that has survived wars, depressions, and a near-death experience in the 2008 financial crisis — evidence of organizational resilience rather than a clearly articulated Just Cause. Under Christopher Swift, the company executed a genuine strategic transformation from a diversified financial conglomerate to a focused P&amp;C and benefits insurer, demonstrating willingness to abandon unprofitable businesses. However, the company's purpose is functional rather than inspiring, its competitive posture is oriented toward market share metrics, and the post-crisis transformation was driven by necessity rather than proactive vision.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Hartford's purpose of helping people and businesses prepare for and recover from the unexpected connects its work to a larger societal role — insurance as social infrastructure. The company's 216-year history and survival through the 2008 crisis demonstrate durability [3]. However, the purpose reads as a description of what insurance companies do rather than a distinctive vision of a future state that doesn't yet exist. It hasn't been tested as a strategic decision-making framework in the way transformative Just Causes have — Swift's transformation was survival-driven, not cause-driven.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Hartford maintains a stable organization with 19,200 employees, long leadership tenure (CEO Swift since 2014), and recognition as a top workplace in IT [2]. Investment in AI education for all employees rather than replacement signals workforce trust. However, no specific evidence of exceptional psychological safety, empowerment programs, or below-average voluntary turnover was identified to distinguish The Hartford from peer insurers.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Hartford's competitive language centers on market share metrics — written premium growth rates, combined ratios versus peers, and segment leadership positions [1]. No evidence was found of management explicitly acknowledging competitors' strengths as motivation for self-improvement or framing competition as a learning opportunity rather than a battle to win.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Hartford's post-2008 transformation was a genuine strategic pivot — divesting its entire life insurance and annuities business to Talcott Resolution, exiting financial products, and rebuilding as a focused P&amp;C and employee benefits company [1]. This required abandoning profitable legacy businesses. However, the pivot was driven by financial crisis survival necessity rather than a proactive Just Cause decision, and the company has not undertaken a similarly bold transformation in the 13 years since.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Swift's post-crisis transformation required discipline to exit businesses and resist the temptation to diversify back into financial products as markets recovered. The commitment to AI-first operations with dedicated C-suite AI leadership represents a meaningful technology investment with uncertain near-term returns [2]. However, these decisions are largely industry-standard strategic management rather than the kind of costly, contrarian bets that define courageous leadership in Sinek's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 Hartford at 9.6x forward earnings represents a deep value opportunity in a hardening P&amp;C insurance market — Q2 2026 core earnings of $945M ($3.42/share) beat estimates with Business Insurance delivering $695M in core earnings, small business written premium growing 7%, and an underlying combined ratio of 86.5 [1]. Q1 2026 net income of $851M grew 36% YoY, demonstrating accelerating profitability. ROE of 22.06% on conservative 22.33% D/E reflects best-in-class capital efficiency among diversified insurers [4]. The company's 216-year operating history, PEG ratio of 0.12, and disciplined underwriting through multiple insurance cycles position it as a durable compounder. CEO Swift's 12-year tenure and AI-first commitment with dedicated C-suite leadership provide strategic continuity and operational modernization potential [2].</w:t>
      </w:r>
    </w:p>
    <w:p>
      <w:pPr>
        <w:spacing w:after="120"/>
      </w:pPr>
      <w:r>
        <w:rPr>
          <w:rFonts w:ascii="Calibri" w:hAnsi="Calibri"/>
          <w:b w:val="0"/>
          <w:color w:val="3A4A28"/>
          <w:sz w:val="20"/>
        </w:rPr>
        <w:t>The bear case centers on earnings cyclicality, personal insurance headwinds, and limited growth upside. Revenue growth of 8.1% YoY is below the 10% target, with Personal Insurance written premium declining 7% as auto sales weaken in a competitive market against digital-first insurtechs [1]. The P&amp;C insurance cycle is inherently mean-reverting — the current hard market with favorable pricing will eventually soften, compressing margins and slowing premium growth. Profit margin of 14.89% is structurally constrained by the insurance model's loss ratios, limiting earnings scalability even in favorable underwriting environments [4]. Catastrophe exposure in commercial property lines creates earnings volatility — a major hurricane or wildfire season could overwhelm underwriting gains. The Inspire Impact Score of -49 (MISALIGNED) restricts allocation for faith-based investors despite strong operational ESG practices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hard market pricing in commercial P&amp;C enabling 5-7% written premium growth and combined ratios below 90%, with small business at 7% growth and 86.5 underlying combined ratio providing a durable earnings engine [1]</w:t>
      </w:r>
    </w:p>
    <w:p>
      <w:pPr>
        <w:spacing w:before="40" w:after="40"/>
        <w:ind w:left="283"/>
      </w:pPr>
      <w:r>
        <w:rPr>
          <w:rFonts w:ascii="Calibri" w:hAnsi="Calibri"/>
          <w:b/>
          <w:color w:val="4A6B25"/>
          <w:sz w:val="20"/>
        </w:rPr>
        <w:t xml:space="preserve">2. </w:t>
      </w:r>
      <w:r>
        <w:rPr>
          <w:rFonts w:ascii="Calibri" w:hAnsi="Calibri"/>
          <w:b w:val="0"/>
          <w:color w:val="3A4A28"/>
          <w:sz w:val="20"/>
        </w:rPr>
        <w:t>AI-first operational transformation through the AI Accelerator and dedicated Chief Data/AI/Operations Officer could drive measurable underwriting efficiency and expense ratio improvement, with CEO Swift publicly committing to insurance industry AI leadership [2]</w:t>
      </w:r>
    </w:p>
    <w:p>
      <w:pPr>
        <w:spacing w:before="40" w:after="40"/>
        <w:ind w:left="283"/>
      </w:pPr>
      <w:r>
        <w:rPr>
          <w:rFonts w:ascii="Calibri" w:hAnsi="Calibri"/>
          <w:b/>
          <w:color w:val="4A6B25"/>
          <w:sz w:val="20"/>
        </w:rPr>
        <w:t xml:space="preserve">3. </w:t>
      </w:r>
      <w:r>
        <w:rPr>
          <w:rFonts w:ascii="Calibri" w:hAnsi="Calibri"/>
          <w:b w:val="0"/>
          <w:color w:val="3A4A28"/>
          <w:sz w:val="20"/>
        </w:rPr>
        <w:t>Capital return acceleration — the company's conservative 16% payout ratio and 22% ROE provide substantial capacity for share buybacks and dividend increases, compounding per-share earnings growth beyond organic improvement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P&amp;C insurance cycle turning from hard to soft market would compress underwriting margins, reduce pricing power, and reverse the combined ratio improvement that has driven 36% earnings growth — historical cycles suggest softening is overdue after multi-year hardening [1]</w:t>
      </w:r>
    </w:p>
    <w:p>
      <w:pPr>
        <w:spacing w:before="40" w:after="40"/>
        <w:ind w:left="283"/>
      </w:pPr>
      <w:r>
        <w:rPr>
          <w:rFonts w:ascii="Calibri" w:hAnsi="Calibri"/>
          <w:b/>
          <w:color w:val="4A6B25"/>
          <w:sz w:val="20"/>
        </w:rPr>
        <w:t xml:space="preserve">2. </w:t>
      </w:r>
      <w:r>
        <w:rPr>
          <w:rFonts w:ascii="Calibri" w:hAnsi="Calibri"/>
          <w:b w:val="0"/>
          <w:color w:val="3A4A28"/>
          <w:sz w:val="20"/>
        </w:rPr>
        <w:t>Personal Insurance segment weakness (written premium -7% YoY, auto -10%) reflects structural competitive pressure from digital-first carriers and usage-based insurance models that could intensify and spread to commercial segments [1]</w:t>
      </w:r>
    </w:p>
    <w:p>
      <w:pPr>
        <w:spacing w:before="40" w:after="40"/>
        <w:ind w:left="283"/>
      </w:pPr>
      <w:r>
        <w:rPr>
          <w:rFonts w:ascii="Calibri" w:hAnsi="Calibri"/>
          <w:b/>
          <w:color w:val="4A6B25"/>
          <w:sz w:val="20"/>
        </w:rPr>
        <w:t xml:space="preserve">3. </w:t>
      </w:r>
      <w:r>
        <w:rPr>
          <w:rFonts w:ascii="Calibri" w:hAnsi="Calibri"/>
          <w:b w:val="0"/>
          <w:color w:val="3A4A28"/>
          <w:sz w:val="20"/>
        </w:rPr>
        <w:t>Catastrophe loss exposure — climate change increases both frequency and severity of natural catastrophe events affecting P&amp;C profitability, and a major hurricane, earthquake, or wildfire season could produce reserve charges that overwhelm underwriting gains in a single quarter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Insurance is a heavily regulated, capital-intensive industry where AI serves as an enabler rather than a disruptor. The Hartford's core business — commercial underwriting, workers' compensation claims, and employee benefits — involves complex physical-world risk assessment, regulatory compliance, and multi-party negotiations that AI cannot easily replicate [1]. State-by-state licensing requirements, reserve capital mandates, and actuarial judgment create structural moats. However, AI tools for claims processing, underwriting automation, and customer service could commoditize portions of the value chain, and InsurTech competitors like Lemonade and Root have demonstrated AI-driven automation in personal lines — Hartford's Personal Insurance saw 7% written premium decline in Q2 2026 [1]. AI Opportunity (0/1): While The Hartford has dedicated AI leadership (Chief Data, AI and Operations Officer) and an AI Accelerator hub, no specific AI-generated revenue or quantified cost savings have been publicly reported [2]. The AI investment remains an operational enabler rather than a revenue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The Hartford Q2 2026 Earnings Release — Core earnings $945M ($3.42/share), Business Insurance $695M core earnings, written premium +5%, small business +7%, combined ratio 86.5; Q1 2026 net income $851M (+36% YoY), EPS $3.04, Investing.com and Hartford Newsroom, July 2026</w:t>
      </w:r>
    </w:p>
    <w:p>
      <w:pPr>
        <w:spacing w:before="20" w:after="20"/>
        <w:ind w:left="170"/>
      </w:pPr>
      <w:r>
        <w:rPr>
          <w:rFonts w:ascii="Calibri" w:hAnsi="Calibri"/>
          <w:b/>
          <w:color w:val="4A6B25"/>
          <w:sz w:val="15"/>
        </w:rPr>
        <w:t xml:space="preserve">2. </w:t>
      </w:r>
      <w:r>
        <w:rPr>
          <w:rFonts w:ascii="Calibri" w:hAnsi="Calibri"/>
          <w:b w:val="0"/>
          <w:color w:val="3A4A28"/>
          <w:sz w:val="17"/>
        </w:rPr>
        <w:t>The Hartford AI-First Strategy and CEO Leadership — Christopher Swift CEO since 2014, AI Accelerator innovation hub, Chief Data/AI/Ops Officer, #2 Best Place to Work in IT by Computerworld, Carrier Management and CIO Dive, February 2026</w:t>
      </w:r>
    </w:p>
    <w:p>
      <w:pPr>
        <w:spacing w:before="20" w:after="20"/>
        <w:ind w:left="170"/>
      </w:pPr>
      <w:r>
        <w:rPr>
          <w:rFonts w:ascii="Calibri" w:hAnsi="Calibri"/>
          <w:b/>
          <w:color w:val="4A6B25"/>
          <w:sz w:val="15"/>
        </w:rPr>
        <w:t xml:space="preserve">3. </w:t>
      </w:r>
      <w:r>
        <w:rPr>
          <w:rFonts w:ascii="Calibri" w:hAnsi="Calibri"/>
          <w:b w:val="0"/>
          <w:color w:val="3A4A28"/>
          <w:sz w:val="17"/>
        </w:rPr>
        <w:t>The Hartford ESG and Corporate Sustainability — Board Nominating Committee ESG oversight, Sustainability Governance Committee, Hartford Foundation for Public Giving, Paralympic partnership, four-pillar ESG strategy, Corporate Sustainability Report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HIG Key Statistics: Forward P/E 9.61x, PEG 0.12, ROE 22.06%, D/E 22.33%, Profit Margin 14.89%, Stock Price $131.50,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