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HIMS</w:t>
      </w:r>
      <w:r>
        <w:rPr>
          <w:rFonts w:ascii="Calibri" w:hAnsi="Calibri"/>
          <w:b/>
          <w:color w:val="1A2010"/>
          <w:sz w:val="40"/>
        </w:rPr>
        <w:t xml:space="preserve">  Hims &amp; Hers Health, Inc.</w:t>
      </w:r>
    </w:p>
    <w:p>
      <w:pPr>
        <w:spacing w:after="120"/>
      </w:pPr>
      <w:r>
        <w:rPr>
          <w:rFonts w:ascii="Calibri" w:hAnsi="Calibri"/>
          <w:b/>
          <w:color w:val="6E8450"/>
          <w:sz w:val="18"/>
        </w:rPr>
        <w:t>GROWTH SLEEVE · 2026-10-05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NYSE · United States</w:t>
      </w:r>
    </w:p>
    <w:p>
      <w:pPr>
        <w:spacing w:after="80"/>
      </w:pPr>
      <w:r>
        <w:rPr>
          <w:rFonts w:ascii="Calibri" w:hAnsi="Calibri"/>
          <w:b w:val="0"/>
          <w:color w:val="3A4A28"/>
          <w:sz w:val="20"/>
        </w:rPr>
        <w:t>Hims &amp; Hers Health operates a direct-to-consumer telehealth platform offering personalized treatments across sexual health, hair loss, dermatology, mental health, and weight management. Q2 2026 revenue grew 38% YoY to $753M with nearly 2.9 million subscribers, and full-year guidance was raised to $3.1-3.3B. The company expanded internationally via the Eucalyptus acquisition and faces an active FTC lawsuit alleging deceptive billing and unauthorized data sharing.</w:t>
      </w:r>
    </w:p>
    <w:p>
      <w:r>
        <w:rPr>
          <w:rFonts w:ascii="Calibri" w:hAnsi="Calibri"/>
          <w:b/>
          <w:color w:val="6E8450"/>
          <w:sz w:val="18"/>
        </w:rPr>
        <w:t>2,442 Employees · https://www.hims.com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Hims &amp; Hers has expanded from its original men's health niche into a comprehensive DTC health platform with nearly 2.9M subscribers, with the GLP-1/weight management category and Novo Nordisk partnership representing a significant new revenue stream driving 38% YoY revenue growth to $753M in Q2 2026 [1]. The Eucalyptus acquisition delivered 17x international revenue growth in Q2. AI Deployment (1/2): The company hired Mo Elshenawy, former Cruise CTO, to accelerate an AI-based product agenda, and uses AI internally for clinical chart review, but no shipped AI product or quantified savings have been publicly reported — stated strategy, not demonstrated deployment [2]. Market Share (1/2): Nearly 2.9M subscribers makes Hims &amp; Hers a recognized DTC telehealth leader, but it competes in a crowded field (Ro, LifeMD, Noom) without a clearly documented dominant-share claim [1]. Product Pipeline (2/2): Specific pipeline with revenue visibility exists — Wegovy pill launch via Novo Nordisk partnership, international expansion targeting $600M+ of 2026 revenue, and raised full-year guidance to $3.1-3.3B [1]. R&amp;D Intensity (0/1): As a DTC telehealth/pharmacy distribution company, spend is concentrated in marketing and clinical operations rather than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The stated purpose of 'helping the world feel great through the power of better health' is clear but largely interchangeable with peer DTC telehealth platforms — it identifies what the company does but doesn't articulate a deeply distinctive or transformative purpose [2]. Community Impact (0/2): No distinctive charitable or community investment program was identified in public filings or company materials. Employee Retention (0/2): Glassdoor reviews reveal serious cultural issues — CEO Andrew Dudum has a 29% approval rating, Senior Management rated 2.1/5, with employees describing 'toxic and demoralizing' work environment, 'hire and fire fast with zero development,' and 'wave after wave of layoffs' [3]. This is negative evidence, not merely absent data. Insider Buying (0/2): No evidence of meaningful net insider buying in the last 12 months amid FTC lawsuit and regulatory overhang.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Revenue growth is the standout: 38.2% YoY and an estimated 5-year CAGR of ~71% (FY2021 ~$272M to TTM ~$2.58B), both far exceeding the 10% target and scoring 1.0 [1][4]. D/E of 477% is past the 300% floor, scoring 0.0 — driven by $1.55B debt against low equity, partly from the Eucalyptus acquisition [4]. ROE of -32.0% scores 0.0, and profit margin of -5.5% scores 0.0, reflecting a company not yet GAAP-profitable despite $849M in free cash flow [4]. Forward P/E of 39.3 scores 0.52, improved from prior quarter. Forward PEG of 2.64 scores 0.18, suggesting high valuation relative to expected growth normalization. Liquidity floor easily cleared: 12.2M avg volume x $29.00 = $354M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Hims &amp; Hers plays a fundamentally finite game: growth is real (38% YoY revenue, raised guidance to $3.1-3.3B) but the FTC's July 2026 lawsuit alleges deceptive billing and unauthorized data sharing with Meta and Snap — findings that directly contradict a patient-first just cause [5]. Glassdoor reviews describe a toxic, layoff-heavy culture with 29% CEO approval, and the forced exit from compounded semaglutide was a regulatory retreat, not a principled choice. Sinek would see a company optimizing for growth metrics while failing to build the internal trust or external credibility needed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'Making healthcare accessible to everyone' is stated but reads as marketing rather than a lived cause — the FTC lawsuit alleges Hims deceived consumers about billing, misled about sharing health data with Meta and Snap, and charged for prescriptions before clinician consultation, directly undermining a consumer-first mission's credibility [5]. The cause has not been tested through decades of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low-trust environment — CEO Andrew Dudum has a 29% approval rating, Senior Management rated 2.1/5, employees describe the culture as 'overwhelmingly toxic and demoralizing,' cite 'wave after wave of layoffs' and 'hire and fire fast with zero development,' and note that leadership 'blame their mistakes on their leaders or teams instead of owning up to their decisions' [3]. This is a clear Circle of Safety failure.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company's public posture toward Novo Nordisk has been adversarial litigation rather than a competitive-improvement framing, and no evidence was found of leadership publicly crediting rivals (Ro, LifeMD, GoodRx) as pushing the company to improve [5].</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Hims &amp; Hers pivoted from a broad multi-category DTC telehealth model toward GLP-1/weight management leadership via the Novo Nordisk partnership, and international expansion via the Eucalyptus acquisition delivered 17x international revenue growth [1]. Real business-model evolution, though driven substantially by the forced compounding pullback rather than a proactive cause-driven choice.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February 2026 withdrawal of compounded semaglutide was forced by FDA enforcement and Novo Nordisk litigation, not a voluntary principled stance [5]. No evidence of leadership sacrificing near-term revenue by choice. The Eucalyptus acquisition and weight-management pivot were growth bets, not courage-driven sacrifices.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Hims &amp; Hers continues to post exceptional top-line growth — Q2 2026 revenue rose 38% YoY to $753M with nearly 2.9M subscribers, and management raised full-year guidance to $3.1-3.3B [1]. The Novo Nordisk partnership, Wegovy pill distribution, and Eucalyptus acquisition (driving 17x international revenue growth) give the growth story multiple legs beyond U.S. telehealth. A 5-year revenue CAGR of ~71% reflects genuine platform scaling, and the company generates $849M in free cash flow despite GAAP losses, suggesting operational leverage is beginning to emerge. At $29.00 per share with a forward P/E of 39x, the valuation has compressed significantly from the $65 52-week high, creating a more reasonable entry if growth sustains.</w:t>
      </w:r>
    </w:p>
    <w:p>
      <w:pPr>
        <w:spacing w:after="120"/>
      </w:pPr>
      <w:r>
        <w:rPr>
          <w:rFonts w:ascii="Calibri" w:hAnsi="Calibri"/>
          <w:b w:val="0"/>
          <w:color w:val="3A4A28"/>
          <w:sz w:val="20"/>
        </w:rPr>
        <w:t>The bear case is serious and multi-layered. The FTC, joined by Utah and California, sued Hims &amp; Hers in July 2026 alleging deceptive billing practices, unauthorized data sharing with Meta and Snap, and unclear subscription disclosure — a direct regulatory threat to the core business model [5]. Every profitability metric hits its Infrastructure scoring floor: D/E of 477%, ROE of -32%, profit margin of -5.5%, reflecting a company not yet sustainably profitable despite $2.58B TTM revenue [4]. Glassdoor reviews reveal a low-trust culture with 29% CEO approval and 'toxic' work environment descriptions, suggesting organizational fragility beneath the growth surface [3]. The forced exit from compounded semaglutide shows the GLP-1 franchise remains exposed to regulatory risk. The stock trades 56% below its 52-week high of $65, and the Inspire Impact Score of -62 (MISALIGNED, Abortifacients) excludes it from faith-based portfolios.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Novo Nordisk partnership and Wegovy pill distribution continuing to scale, with full-year 2026 guidance raised to $3.1-3.3B suggesting the weight-management franchise has substantial runway beyond the compounding controversy [1]</w:t>
      </w:r>
    </w:p>
    <w:p>
      <w:pPr>
        <w:spacing w:before="40" w:after="40"/>
        <w:ind w:left="283"/>
      </w:pPr>
      <w:r>
        <w:rPr>
          <w:rFonts w:ascii="Calibri" w:hAnsi="Calibri"/>
          <w:b/>
          <w:color w:val="4A6B25"/>
          <w:sz w:val="20"/>
        </w:rPr>
        <w:t xml:space="preserve">2. </w:t>
      </w:r>
      <w:r>
        <w:rPr>
          <w:rFonts w:ascii="Calibri" w:hAnsi="Calibri"/>
          <w:b w:val="0"/>
          <w:color w:val="3A4A28"/>
          <w:sz w:val="20"/>
        </w:rPr>
        <w:t>International expansion via Eucalyptus delivering 17x revenue growth provides geographic diversification away from single-market U.S. regulatory risk, with 2030 targets of $6.5B revenue and $1.3B adjusted EBITDA [1]</w:t>
      </w:r>
    </w:p>
    <w:p>
      <w:pPr>
        <w:spacing w:before="40" w:after="40"/>
        <w:ind w:left="283"/>
      </w:pPr>
      <w:r>
        <w:rPr>
          <w:rFonts w:ascii="Calibri" w:hAnsi="Calibri"/>
          <w:b/>
          <w:color w:val="4A6B25"/>
          <w:sz w:val="20"/>
        </w:rPr>
        <w:t xml:space="preserve">3. </w:t>
      </w:r>
      <w:r>
        <w:rPr>
          <w:rFonts w:ascii="Calibri" w:hAnsi="Calibri"/>
          <w:b w:val="0"/>
          <w:color w:val="3A4A28"/>
          <w:sz w:val="20"/>
        </w:rPr>
        <w:t>Resolution or settlement of the FTC lawsuit could remove a meaningful stock-price overhang and re-rate the multiple given 38% underlying revenue growth at a compressed $29 share price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FTC/Utah/California lawsuit alleging deceptive billing and unauthorized data sharing with Meta and Snap — an adverse ruling or consent decree could force costly changes to the subscription and data-monetization model underpinning current growth [5]</w:t>
      </w:r>
    </w:p>
    <w:p>
      <w:pPr>
        <w:spacing w:before="40" w:after="40"/>
        <w:ind w:left="283"/>
      </w:pPr>
      <w:r>
        <w:rPr>
          <w:rFonts w:ascii="Calibri" w:hAnsi="Calibri"/>
          <w:b/>
          <w:color w:val="4A6B25"/>
          <w:sz w:val="20"/>
        </w:rPr>
        <w:t xml:space="preserve">2. </w:t>
      </w:r>
      <w:r>
        <w:rPr>
          <w:rFonts w:ascii="Calibri" w:hAnsi="Calibri"/>
          <w:b w:val="0"/>
          <w:color w:val="3A4A28"/>
          <w:sz w:val="20"/>
        </w:rPr>
        <w:t>Every Infrastructure profitability metric at its scoring floor (D/E 477%, ROE -32%, profit margin -5.5%) means the growth rate is not translating into balance-sheet strength, with $1.55B debt and 2.43 beta creating downside amplification [4]</w:t>
      </w:r>
    </w:p>
    <w:p>
      <w:pPr>
        <w:spacing w:before="40" w:after="40"/>
        <w:ind w:left="283"/>
      </w:pPr>
      <w:r>
        <w:rPr>
          <w:rFonts w:ascii="Calibri" w:hAnsi="Calibri"/>
          <w:b/>
          <w:color w:val="4A6B25"/>
          <w:sz w:val="20"/>
        </w:rPr>
        <w:t xml:space="preserve">3. </w:t>
      </w:r>
      <w:r>
        <w:rPr>
          <w:rFonts w:ascii="Calibri" w:hAnsi="Calibri"/>
          <w:b w:val="0"/>
          <w:color w:val="3A4A28"/>
          <w:sz w:val="20"/>
        </w:rPr>
        <w:t>Glassdoor evidence of a low-trust culture (29% CEO approval, 2.1/5 Senior Management rating, 'toxic' and 'hire and fire' descriptions) creates organizational fragility and talent retention risk that could constrain execution as the company scales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Hims &amp; Hers' core business — licensed clinicians prescribing regulated medications through a state-by-state compliance framework — has structural protection from pure AI substitution, since prescribing authority cannot be automated end-to-end by AI under current regulations [1]. However, AI-powered symptom-checking and health-information tools are increasingly commoditizing the consumer health engagement 'front door' that DTC telehealth platforms have historically owned, and the FTC lawsuit alleging billing before clinician consultation compounds disintermediation risk of that intake step [5]. The company's moats are brand recognition, subscriber relationships, and pharmacy fulfillment infrastructure, not proprietary technology. AI Opportunity (0/1): No quantified AI-derived revenue reported despite the Elshenawy CTO hire; AI chart review is deployed internally but with no measurable financial impact disclosed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Hims &amp; Hers Q2 2026 Earnings Release — Revenue $753M (+38% YoY), Full-Year Guidance Raised to $3.1-3.3B, 2.9M Subscribers, Eucalyptus International Expansion,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Andrew Dudum Leadership and AI Strategy — Mo Elshenawy (ex-Cruise CTO) CTO Hire, AI-Based Product Agenda — Quartr, TechCrunch, 2025-2026</w:t>
      </w:r>
    </w:p>
    <w:p>
      <w:pPr>
        <w:spacing w:before="20" w:after="20"/>
        <w:ind w:left="170"/>
      </w:pPr>
      <w:r>
        <w:rPr>
          <w:rFonts w:ascii="Calibri" w:hAnsi="Calibri"/>
          <w:b/>
          <w:color w:val="4A6B25"/>
          <w:sz w:val="15"/>
        </w:rPr>
        <w:t xml:space="preserve">3. </w:t>
      </w:r>
      <w:r>
        <w:rPr>
          <w:rFonts w:ascii="Calibri" w:hAnsi="Calibri"/>
          <w:b w:val="0"/>
          <w:color w:val="3A4A28"/>
          <w:sz w:val="17"/>
        </w:rPr>
        <w:t>Glassdoor — Hims &amp; Hers Employee Reviews: CEO Approval 29%, Senior Management 2.1/5, Culture and Leadership Concerns,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HIMS Key Statistics: Forward P/E 39.3x, D/E 477%, ROE -32%, Profit Margin -5.5%, PEG 2.64, Stock Price $29.00,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FTC v. Hims &amp; Hers — Deceptive Billing and Data Privacy Lawsuit (July 2026); Compounded Semaglutide FDA Enforcement (February 2026) — FTC.gov, CNBC, STAT News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