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HLT</w:t>
      </w:r>
      <w:r>
        <w:rPr>
          <w:rFonts w:ascii="Calibri" w:hAnsi="Calibri"/>
          <w:b/>
          <w:color w:val="1A2010"/>
          <w:sz w:val="40"/>
        </w:rPr>
        <w:t xml:space="preserve">  Hilton Worldwide Holdings Inc.</w:t>
      </w:r>
    </w:p>
    <w:p>
      <w:pPr>
        <w:spacing w:after="120"/>
      </w:pPr>
      <w:r>
        <w:rPr>
          <w:rFonts w:ascii="Calibri" w:hAnsi="Calibri"/>
          <w:b/>
          <w:color w:val="6E8450"/>
          <w:sz w:val="18"/>
        </w:rPr>
        <w:t>GROWTH SLEEVE · 2026-09-13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Lodging · NYSE · United States</w:t>
      </w:r>
    </w:p>
    <w:p>
      <w:pPr>
        <w:spacing w:after="80"/>
      </w:pPr>
      <w:r>
        <w:rPr>
          <w:rFonts w:ascii="Calibri" w:hAnsi="Calibri"/>
          <w:b w:val="0"/>
          <w:color w:val="3A4A28"/>
          <w:sz w:val="20"/>
        </w:rPr>
        <w:t>Hilton Worldwide Holdings is a global hospitality company operating a portfolio of 25 brands across 8,000+ properties in 139 countries. The company operates through Management and Franchise (asset-light fee revenue) and Ownership segments. Brands include Hilton Hotels &amp; Resorts, Waldorf Astoria, Conrad, DoubleTree, Hampton, Embassy Suites, Tempo, and Spark. Under CEO Chris Nassetta's 18-year tenure, Hilton transformed from a capital-intensive owner-operator into a brand-led franchise platform. Q2 2026 revenue reached $3.34B (+6.5% YoY) with adjusted EBITDA of $1.054B and a record development pipeline of 541,300 rooms.</w:t>
      </w:r>
    </w:p>
    <w:p>
      <w:r>
        <w:rPr>
          <w:rFonts w:ascii="Calibri" w:hAnsi="Calibri"/>
          <w:b/>
          <w:color w:val="6E8450"/>
          <w:sz w:val="18"/>
        </w:rPr>
        <w:t>182,000 Employees · https://www.hilton.com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Hilton has expanded from 18 to 25 brands over the past five years, launching lifestyle and midscale concepts including Tempo by Hilton, Spark by Hilton, and LivSmart Studios, each targeting distinct underserved segments [1]. The development pipeline reached a record 541,300 rooms with net unit growth of 6.1% YoY, and over 200 hotels opened in H1 2026 [1]. However, these are incremental brand extensions within the hospitality model, not transformative business model innovations. AI Deployment (1/2): Hilton has deployed an AI Planner tool for event planning and CEO Nassetta outlined a 2030 technology roadmap positioning AI as central to operational transformation, workforce productivity, and guest experience personalization [2]. No specific AI-generated revenue or quantified efficiency savings have been disclosed. Market Share (2/2): Hilton is one of the world's largest hotel companies by room count and leads the industry in pipeline growth. The 541,300-room pipeline represents approximately 45% of existing system size, giving Hilton the fastest growth trajectory among major chains [1]. Product Pipeline (1/2): The record development pipeline provides 6-7% annual net unit growth visibility, with specific brand rollouts (Spark, Tempo) expanding across multiple markets and RevPAR growth guided at 2-3% for FY2026 [1]. R&amp;D Intensity (0/1): As a hospitality company, Hilton does not report traditional R&amp;D spending; technology investment is embedded in SG&amp;A and not disclosed separately.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Hilton's purpose — 'To fill the earth with the light and warmth of hospitality' — traces directly to founder Conrad Hilton's 1919 vision and has guided the company through multiple ownership structures, a leveraged buyout, bankruptcy emergence, and re-IPO [3]. CEO Nassetta, in his 18th year leading the company, consistently references this purpose when explaining strategic decisions. The mission is specific, distinctive, and deeply embedded in the organization's identity, though it lacks the transformative future-state quality of a Sinek-level Just Cause. Community Impact (1/2): Hilton's Travel with Purpose program commits to doubling social impact and halving environmental footprint by 2030 across 23 measurable targets [4]. The company has invested in workforce development and disaster relief, though specific charitable dollar amounts are not prominently disclosed. Employee Retention (2/2): Hilton has been named the #1 World's Best Workplace by Great Place to Work and Fortune for multiple consecutive years, with employees globally who consistently describe a culture of genuine care and empowerment [3]. Nassetta credits culture as Hilton's primary competitive advantage, and the company's workplace research emphasizes a 'hospitality mindset' applied internally — treating employees with the same care as guests [2]. This represents exceptional evidence of a high-trust, high-retention environment. Insider Buying (0/2): CEO Nassetta sold 114,289 shares valued at $36.3M in February 2026, and CDO Charnaux sold 1,854 shares in August 2026 [5]. Net insider selling with no evidence of meaningful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(both null due to negative shareholders' equity from cumulative buybacks). Q2 2026 delivered $3.34B in revenue (+6.5% YoY) with adjusted EBITDA of $1.054B beating guidance, and full-year 2026 guidance raised to $8.89-$9.01 diluted EPS and $4.04-$4.08B adjusted EBITDA [1]. Profit margin of 31.0% reflects the asset-light franchise model's superior economics, scoring at target. Revenue growth YoY of 8.7% (TTM) is slightly below the 10% target. Five-year revenue CAGR of approximately 20% is COVID-distorted from the depressed FY2021 base but scores at target. Forward P/E of 35.4x and PEG of 2.73 reflect premium valuation, with PEG contributing minimally (0.135 score). The company carries $12.4B in debt against negative equity of approximately -$5.9B, a consequence of aggressive share repurchases ($3.5B expected in 2026), but generates $2.2B+ in annual FCF [1]. Liquidity floor easily cleared with ~2.7M shares daily volume at ~$325/share (~$880M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Hilton under Chris Nassetta is a strong infinite game player with a genuine purpose rooted in Conrad Hilton's 1919 founding vision. The transformative shift from asset-heavy owner-operator to asset-light franchise model demonstrates existential flexibility, and Nassetta's 18-year tenure provides leadership continuity. The company's consistent recognition as the #1 World's Best Workplace validates its internal culture. However, the recent decision to drop ESG terminology from its 2025 10-K filing signals pragmatic retreat from purpose-driven governance language, and competitive posture remains partially oriented around pipeline size and market share metrics.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fill the earth with the light and warmth of hospitality' is a genuine, enduring purpose that has guided Hilton since 1919 — surviving Conrad Hilton's original ownership, the Barron Hilton era, Blackstone's leveraged buyout, bankruptcy emergence, and the 2013 re-IPO [3]. Nassetta has held this cause through 18 years of leadership, including the existential COVID-19 crisis when hotel occupancy collapsed globally. Strategic decisions — launching accessible brands like Spark to democratize quality hospitality, expanding to 139 countries — trace back to this purpose. However, the cause is more of a values statement about 'how we operate' than a Sinek-style vision of a future state that doesn't yet exist, and the removal of ESG language from the 10-K in 2025 suggests some retreat from the fullest expression of the cause [4].</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Hilton provides exceptional evidence of a high-trust organization. Named #1 World's Best Workplace by Great Place to Work and Fortune for multiple consecutive years, with team members globally who consistently describe a culture of genuine care and empowerment [3]. CEO Nassetta's 18-year tenure and the stability of the senior leadership team create organizational continuity. The company's 2026 workplace research emphasizes a 'hospitality mindset' applied internally — treating employees with the same care as guests — and positions human empowerment, not AI replacement, as the path forward [2]. Nassetta publicly credits culture as Hilton's primary competitive advantage.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Nassetta consistently frames Marriott and other competitors as motivation for Hilton to improve rather than enemies to destroy [3]. In McKinsey and Skift interviews, he discusses learning from competitive dynamics and focusing on being the best version of Hilton rather than beating specific rivals. Hilton's competitive language centers on 'earning more of the world's travel' rather than 'taking share from Marriott,' reflecting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Hilton's transformation from an asset-heavy owner-operator to an asset-light management and franchise company is a textbook example of existential flexibility [3]. The company sold off most of its owned hotel properties, fundamentally restructuring from a capital-intensive real estate business into a high-margin fee-based platform. This pivot meant walking away from the tangible assets that defined Hilton for decades, creating a dramatically more durable business model with 31%+ profit margins, $2.2B+ in FCF, and the ability to grow without deploying capital. Sinek would recognize this as abandoning what was working to build something that would endure.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Nassetta's decision to maintain aggressive pipeline investment during COVID-19 — signing new franchise agreements even as occupancy was near zero — demonstrated willingness to sacrifice near-term results for long-term positioning [1][3]. The resulting 541,300-room pipeline now represents years of future fee growth. However, given Hilton's asset-light model and $2.2B+ FCF generation, these investments carry relatively modest financial risk compared to companies that make truly costly long-term bets. The removal of ESG language from the 10-K suggests pragmatic investor relations over principled commitment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Hilton at 35.4x forward earnings is a premium hospitality compounder with Q2 2026 results demonstrating continued execution: revenue of $3.34B (+6.5% YoY), adjusted EBITDA of $1.054B (beating guidance), and raised full-year guidance to $8.89-$9.01 diluted EPS and $4.04-$4.08B adjusted EBITDA [1]. The asset-light franchise model generates 31%+ profit margins and $2.2B+ in annual FCF from 8,000+ properties, while the record 541,300-room pipeline provides multi-year visibility at 6.1% net unit growth. Hilton Honors' 200M+ members drive direct booking share and reduce OTA dependency. Approximately $3.5B in expected 2026 shareholder returns via buybacks and dividends compound per-share value, and AI-driven operational tools position Hilton to improve margins further [2].</w:t>
      </w:r>
    </w:p>
    <w:p>
      <w:pPr>
        <w:spacing w:after="120"/>
      </w:pPr>
      <w:r>
        <w:rPr>
          <w:rFonts w:ascii="Calibri" w:hAnsi="Calibri"/>
          <w:b w:val="0"/>
          <w:color w:val="3A4A28"/>
          <w:sz w:val="20"/>
        </w:rPr>
        <w:t>The bear case centers on premium valuation and macro sensitivity. At 35.4x forward P/E and PEG of 2.73, Hilton is priced for near-flawless execution despite organic revenue growth in the mid-single digits (8.7% TTM), trading at a 137% premium to the Travel &amp; Leisure industry median P/E of 14.9 [6]. Negative shareholders' equity of approximately -$5.9B from cumulative buybacks means the $12.4B debt load has no equity cushion, creating vulnerability in a prolonged travel downturn — though the ~3.1x net debt/EBITDA ratio is manageable [1]. RevPAR growth of only 2-3% on a currency-neutral basis suggests the organic growth engine is decelerating as post-COVID pent-up demand normalizes. CEO insider selling of $36.3M in February 2026 signals limited executive conviction at current prices [5]. The Inspire Impact Score of -53 (MISALIGNED) from gambling exposure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541,300-room development pipeline converting to 6-7% annual net unit growth, adding recurring franchise fee revenue with zero capital deployment by Hilton and providing multi-year earnings visibility [1]</w:t>
      </w:r>
    </w:p>
    <w:p>
      <w:pPr>
        <w:spacing w:before="40" w:after="40"/>
        <w:ind w:left="283"/>
      </w:pPr>
      <w:r>
        <w:rPr>
          <w:rFonts w:ascii="Calibri" w:hAnsi="Calibri"/>
          <w:b/>
          <w:color w:val="4A6B25"/>
          <w:sz w:val="20"/>
        </w:rPr>
        <w:t xml:space="preserve">2. </w:t>
      </w:r>
      <w:r>
        <w:rPr>
          <w:rFonts w:ascii="Calibri" w:hAnsi="Calibri"/>
          <w:b w:val="0"/>
          <w:color w:val="3A4A28"/>
          <w:sz w:val="20"/>
        </w:rPr>
        <w:t>Raised FY2026 guidance to $8.89-$9.01 EPS and $4.04-$4.08B adjusted EBITDA, with $3.5B in planned capital returns reducing share count and compounding EPS growth [1]</w:t>
      </w:r>
    </w:p>
    <w:p>
      <w:pPr>
        <w:spacing w:before="40" w:after="40"/>
        <w:ind w:left="283"/>
      </w:pPr>
      <w:r>
        <w:rPr>
          <w:rFonts w:ascii="Calibri" w:hAnsi="Calibri"/>
          <w:b/>
          <w:color w:val="4A6B25"/>
          <w:sz w:val="20"/>
        </w:rPr>
        <w:t xml:space="preserve">3. </w:t>
      </w:r>
      <w:r>
        <w:rPr>
          <w:rFonts w:ascii="Calibri" w:hAnsi="Calibri"/>
          <w:b w:val="0"/>
          <w:color w:val="3A4A28"/>
          <w:sz w:val="20"/>
        </w:rPr>
        <w:t>AI-powered operational transformation via the 2030 tech roadmap, including AI Planner and personalization tools targeting cost reduction and guest satisfaction improvements that could expand margins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35.4x forward P/E and PEG of 2.73 leaves minimal margin of safety — any RevPAR growth deceleration below the guided 2-3% could trigger meaningful multiple compression from current levels well above industry median [6]</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of approximately -$5.9B and $12.4B in total debt create structural vulnerability if a travel recession reduces franchise fee revenue, despite manageable leverage metrics and strong FCF generation [1]</w:t>
      </w:r>
    </w:p>
    <w:p>
      <w:pPr>
        <w:spacing w:before="40" w:after="40"/>
        <w:ind w:left="283"/>
      </w:pPr>
      <w:r>
        <w:rPr>
          <w:rFonts w:ascii="Calibri" w:hAnsi="Calibri"/>
          <w:b/>
          <w:color w:val="4A6B25"/>
          <w:sz w:val="20"/>
        </w:rPr>
        <w:t xml:space="preserve">3. </w:t>
      </w:r>
      <w:r>
        <w:rPr>
          <w:rFonts w:ascii="Calibri" w:hAnsi="Calibri"/>
          <w:b w:val="0"/>
          <w:color w:val="3A4A28"/>
          <w:sz w:val="20"/>
        </w:rPr>
        <w:t>Macro sensitivity to geopolitical tensions, consumer spending pullbacks, and potential secular shift toward AI-enabled remote work that could structurally reduce business travel volumes over the medium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Hilton's core business — providing physical hotel rooms, food and beverage, and in-person hospitality experiences — is structurally immune to AI substitution [2]. No AI system can replace a hotel bed, a front desk interaction, or the physical infrastructure of 8,000+ properties across 139 countries. The asset-light franchise model adds a second layer of protection: Hilton earns fees on rooms that third-party owners build and operate, creating a capital-light annuity stream that AI cannot displace. AI-driven economic productivity gains may actually expand demand for hospitality by increasing business travel and leisure spending [2]. CEO Nassetta has noted that AI investments are expected to accelerate economic growth and travel demand. The only modest risk is that AI-powered travel aggregators could reduce brand differentiation in discovery and booking, but Hilton Honors' 200M+ members and direct booking share provide substantial defense. AI Opportunity (0/1): Hilton has deployed AI internally (AI Planner, 2030 tech roadmap, operational optimization) but no specific AI-generated revenue has been quantified [2]. AI investments are cost-center deployments rather than revenue-generating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Hilton Q2 2026 Earnings Release — Revenue $3.34B (+6.5% YoY), Adjusted EBITDA $1.054B, Net Unit Growth 6.1%, Pipeline 541,300 Rooms, Full-Year EPS Guidance $8.89-$9.01, July 2026</w:t>
      </w:r>
    </w:p>
    <w:p>
      <w:pPr>
        <w:spacing w:before="20" w:after="20"/>
        <w:ind w:left="170"/>
      </w:pPr>
      <w:r>
        <w:rPr>
          <w:rFonts w:ascii="Calibri" w:hAnsi="Calibri"/>
          <w:b/>
          <w:color w:val="4A6B25"/>
          <w:sz w:val="15"/>
        </w:rPr>
        <w:t xml:space="preserve">2. </w:t>
      </w:r>
      <w:r>
        <w:rPr>
          <w:rFonts w:ascii="Calibri" w:hAnsi="Calibri"/>
          <w:b w:val="0"/>
          <w:color w:val="3A4A28"/>
          <w:sz w:val="17"/>
        </w:rPr>
        <w:t>Hilton CEO Chris Nassetta on Leadership, Culture, AI Strategy, 2030 Tech Roadmap, and Hospitality Mindset Research — McKinsey, Skift, InfotechLead, 2025-2026</w:t>
      </w:r>
    </w:p>
    <w:p>
      <w:pPr>
        <w:spacing w:before="20" w:after="20"/>
        <w:ind w:left="170"/>
      </w:pPr>
      <w:r>
        <w:rPr>
          <w:rFonts w:ascii="Calibri" w:hAnsi="Calibri"/>
          <w:b/>
          <w:color w:val="4A6B25"/>
          <w:sz w:val="15"/>
        </w:rPr>
        <w:t xml:space="preserve">3. </w:t>
      </w:r>
      <w:r>
        <w:rPr>
          <w:rFonts w:ascii="Calibri" w:hAnsi="Calibri"/>
          <w:b w:val="0"/>
          <w:color w:val="3A4A28"/>
          <w:sz w:val="17"/>
        </w:rPr>
        <w:t>McKinsey — Hilton President and CEO Chris Nassetta on Culture, Strategy, and Reinvention, 2025</w:t>
      </w:r>
    </w:p>
    <w:p>
      <w:pPr>
        <w:spacing w:before="20" w:after="20"/>
        <w:ind w:left="170"/>
      </w:pPr>
      <w:r>
        <w:rPr>
          <w:rFonts w:ascii="Calibri" w:hAnsi="Calibri"/>
          <w:b/>
          <w:color w:val="4A6B25"/>
          <w:sz w:val="15"/>
        </w:rPr>
        <w:t xml:space="preserve">4. </w:t>
      </w:r>
      <w:r>
        <w:rPr>
          <w:rFonts w:ascii="Calibri" w:hAnsi="Calibri"/>
          <w:b w:val="0"/>
          <w:color w:val="3A4A28"/>
          <w:sz w:val="17"/>
        </w:rPr>
        <w:t>Hilton ESG Strategy, Travel with Purpose, and 10-K Terminology Changes — Bloomberg Law, SEC Filings, KnowESG (MSCI: A), 2025-2026</w:t>
      </w:r>
    </w:p>
    <w:p>
      <w:pPr>
        <w:spacing w:before="20" w:after="20"/>
        <w:ind w:left="170"/>
      </w:pPr>
      <w:r>
        <w:rPr>
          <w:rFonts w:ascii="Calibri" w:hAnsi="Calibri"/>
          <w:b/>
          <w:color w:val="4A6B25"/>
          <w:sz w:val="15"/>
        </w:rPr>
        <w:t xml:space="preserve">5. </w:t>
      </w:r>
      <w:r>
        <w:rPr>
          <w:rFonts w:ascii="Calibri" w:hAnsi="Calibri"/>
          <w:b w:val="0"/>
          <w:color w:val="3A4A28"/>
          <w:sz w:val="17"/>
        </w:rPr>
        <w:t>Hilton Insider Transactions — CEO Nassetta Sold 114,289 Shares ($36.3M) Feb 2026, CDO Charnaux Sold 1,854 Shares Aug 2026 — MarketBeat, Motley Fool</w:t>
      </w:r>
    </w:p>
    <w:p>
      <w:pPr>
        <w:spacing w:before="20" w:after="20"/>
        <w:ind w:left="170"/>
      </w:pPr>
      <w:r>
        <w:rPr>
          <w:rFonts w:ascii="Calibri" w:hAnsi="Calibri"/>
          <w:b/>
          <w:color w:val="4A6B25"/>
          <w:sz w:val="15"/>
        </w:rPr>
        <w:t xml:space="preserve">6. </w:t>
      </w:r>
      <w:r>
        <w:rPr>
          <w:rFonts w:ascii="Calibri" w:hAnsi="Calibri"/>
          <w:b w:val="0"/>
          <w:color w:val="3A4A28"/>
          <w:sz w:val="17"/>
        </w:rPr>
        <w:t>GuruFocus, StockAnalysis, FinanceCharts — HLT Key Statistics: Forward P/E 35.41x, Profit Margin 31.03%, PEG 2.73, Industry Median P/E 14.92,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