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HOMB</w:t>
      </w:r>
      <w:r>
        <w:rPr>
          <w:rFonts w:ascii="Calibri" w:hAnsi="Calibri"/>
          <w:b/>
          <w:color w:val="1A2010"/>
          <w:sz w:val="40"/>
        </w:rPr>
        <w:t xml:space="preserve">  Home BancShares, Inc.</w:t>
      </w:r>
    </w:p>
    <w:p>
      <w:pPr>
        <w:spacing w:after="120"/>
      </w:pPr>
      <w:r>
        <w:rPr>
          <w:rFonts w:ascii="Calibri" w:hAnsi="Calibri"/>
          <w:b/>
          <w:color w:val="6E8450"/>
          <w:sz w:val="18"/>
        </w:rPr>
        <w:t>DIVIDEND SLEEVE · 2026-09-22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Home BancShares is the holding company for Centennial Bank, providing commercial and retail banking, trust, wealth management, and insurance services across Arkansas, Florida, Texas, South Alabama, Tennessee, and New York City. Founded in 1903, the company has grown through disciplined M&amp;A under Chairman/CEO John Allison's 28-year tenure to $24.7B in total assets. Q2 2026 delivered record adjusted revenue of $295.1M and adjusted net income of $128.1M following the Mountain Commerce Bancorp acquisition (April 2026). ROA of 2.09% places HOMB among the highest-returning community banks in the country.</w:t>
      </w:r>
    </w:p>
    <w:p>
      <w:r>
        <w:rPr>
          <w:rFonts w:ascii="Calibri" w:hAnsi="Calibri"/>
          <w:b/>
          <w:color w:val="6E8450"/>
          <w:sz w:val="18"/>
        </w:rPr>
        <w:t>2,543 Employees · https://www.homebancshares.com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Home BancShares has executed a highly successful M&amp;A-driven growth strategy, expanding total assets from ~$18B to $24.7B through the Mountain Commerce Bancorp acquisition (effective April 1, 2026, adding $1.47B in loans) and prior deals including Happy State Bank (Texas) and others that transformed HOMB from a small Arkansas bank into a multi-state franchise [1][3]. Q2 2026 delivered record adjusted revenue of $295.1M (+8.9% YoY) and record adjusted net income of $128.1M (+11.9% YoY), validating the consolidation strategy [3]. AI Deployment (0/2): No evidence of AI-powered products or quantified AI-driven cost savings. Centennial Bank has adopted digital banking platforms (NewgenONE, FIS IBS, FIS Digital One) but these are vendor solutions, not proprietary AI deployments [4]. Market Share (1/2): Centennial Bank is a meaningful regional franchise with top-tier profitability (ROA 2.09%) distinguishing it among community bank peers, but it operates in a fragmented industry against much larger national banks [1][2]. Product Pipeline (1/2): Mountain Commerce integration provides near-term growth visibility, and Chairman Allison has signaled openness to additional M&amp;A throughout the footprint, maintaining a pipeline of potential deals [3]. R&amp;D Intensity (1/1): Centennial Bank has invested in cloud applications, digital banking platforms (FIS Digital One, NewgenONE Case Management), and technology modernization — above average for a community bank of its size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Home BancShares positions itself as a community-focused bank serving businesses, real estate developers, and individuals through experienced bankers with strong local relationships [4]. The purpose is clear and operational — 123 years of community banking since 1903 — but not distinctively inspirational compared to other community bank holding companies. Community Impact (1/2): Centennial Bank appointed Audra Foster as Director of Corporate Social Responsibility in 2021, formalizing ESG initiatives around People, Planet, and Prosperity. The bank maintains active local community involvement across its five-state footprint, though specific dollar amounts for charitable programs are not publicly detailed [5]. Employee Retention (1/2): Exceptional leadership stability — Chairman/CEO John Allison has led the company for 28 years, with President Kevin Hester and Centennial Bank CEO Stephen Tipton promoted from within in 2024 [4]. The orderly internal succession suggests a stable culture that develops talent from within. However, Glassdoor rates Centennial Bank at 3.2/5 with only 40% of employees recommending the workplace, indicating mixed rank-and-file experience. Insider Buying (1/2): Allison remains the company's largest individual shareholder, with his significant ownership stake maintained over a 28-year tenure demonstrating meaningful long-term conviction in the business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dividend-stock metrics, excluding D/E (null for banks — capital adequacy ratios apply instead). Home BancShares delivers exceptional financial performance. Forward P/E of 11.37x is deeply below the 20x target (score 1.0), reflecting attractive valuation for a high-quality community bank [6]. Profit margin of 43.6% far exceeds the 20% target (score 1.0), driven by net interest income efficiency and cost discipline [3]. ROE of 11.1% falls below the 15% target (score 0.74) but is solid for a conservatively managed bank. Revenue growth YoY of 8.6% approaches the 10% target (score 0.95), boosted by Mountain Commerce acquisition [3]. Dividend metrics are uniformly strong: 34.3% payout ratio below the 40% target (score 1.0), 20+ consecutive years paid (score 1.0 at 2x weight), ~10 consecutive years of growth (score 1.0), and 5-year dividend growth CAGR of ~8.2% above the 6% target (score 1.0 at 2x weight) [6]. The only drag is ROE and 5-year revenue CAGR of ~7.9% (score 0.86). Liquidity is ample at ~$51.6M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Home BancShares operates as a well-run finite game player — focused on top-tier financial returns, M&amp;A-driven growth, and operational efficiency rather than an enduring purpose beyond profitability. The company's 123-year history and Allison's 28-year leadership provide institutional stability, and the internal succession pipeline (Hester, Tipton) suggests organizational maturity. However, the mission ('be the best community bank') is a finite objective, the Glassdoor 3.2/5 with only 40% recommending suggests mixed employee trust, and the competitive posture centers on acquiring rather than learning from rivals.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Home BancShares' purpose — to be the best community bank in its markets — is a finite objective in Sinek's framework. 'Best' is a competitive ranking, not a vision of a future state so appealing people would sacrifice to advance it [4]. The company has served communities since 1903 (123 years), and Allison's 28-year leadership demonstrates consistency, but the strategic decisions (M&amp;A growth, asset accumulation, ROA maximization) are driven by financial returns rather than a guiding cause that transcends the product category.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stability is exceptional — Allison's 28-year tenure and the orderly 2024 internal succession (Hester to President, Tipton to Centennial Bank CEO) demonstrate a culture that develops and promotes from within [4]. With 2,543 employees across five states, the company maintains community banking roots with local decision-making authority. However, Glassdoor rates Centennial Bank at only 3.2/5 with just 40% of employees recommending the workplace and career opportunities scored at 2.9/5 — suggesting the rank-and-file experience does not match the leadership stability narrative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Home BancShares' competitive strategy centers on acquiring banks to grow its franchise rather than learning from competitors' strengths [1][3]. No evidence of management publicly acknowledging rivals' capabilities or framing competition as motivation for self-improvement was identified. The M&amp;A approach treats other banks as acquisition targets rather than worthy rivals whose strengths reveal HOMB's own weaknesses.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Home BancShares has evolved meaningfully from a small Arkansas community bank into a multi-state, $24.7B asset franchise through geographic expansion into Florida, Texas, Alabama, Tennessee, and New York City, plus addition of trust, wealth management, and insurance services [1][3]. These represent meaningful evolution, but within the community banking model — the core business of deposit-taking, lending, and relationship banking has remained unchanged since 1903. No transformative reinvention has occurred.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Allison demonstrated courage through aggressive but disciplined M&amp;A during periods of banking stress — acquiring distressed FDIC-failed banks during the 2008-2012 financial crisis at attractive prices, building the foundation for today's $24.7B franchise [1]. The Mountain Commerce acquisition in 2026 continues this counter-cyclical value-creation strategy. Maintaining top-tier ROA of 2.09% while integrating acquisitions shows disciplined execution [2]. However, M&amp;A-driven growth is an established value-creation playbook for community banks rather than a sacrifice of short-term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Home BancShares is a top-tier community bank franchise delivering exceptional Q2 2026 results — record adjusted revenue of $295.1M (+8.9% YoY), record adjusted net income of $128.1M (+11.9% YoY), and ROA of 2.09% placing HOMB among the highest-returning banks in the country [3]. At 11.37x forward P/E with a 2.90% dividend yield, conservative 34.3% payout ratio, and 10 consecutive years of dividend growth (~8.2% CAGR), the stock offers compelling value for income-oriented investors [6]. The Mountain Commerce Bancorp acquisition (completed April 1, 2026) added $1.47B in loans and expanded the Tennessee footprint, with Allison signaling openness to additional deals [3]. Profit margin of 43.6% is exceptional, the balance sheet carries $1.05B in cash against $921M in debt, and the 123-year operating history under Allison's 28-year leadership provides institutional stability [2]. The Inspire score of 44 (ALIGNED) with 7 positive attributions and zero negatives makes HOMB attractive for faith-based income investors.</w:t>
      </w:r>
    </w:p>
    <w:p>
      <w:pPr>
        <w:spacing w:after="120"/>
      </w:pPr>
      <w:r>
        <w:rPr>
          <w:rFonts w:ascii="Calibri" w:hAnsi="Calibri"/>
          <w:b w:val="0"/>
          <w:color w:val="3A4A28"/>
          <w:sz w:val="20"/>
        </w:rPr>
        <w:t>The bear case centers on credit cycle risk, modest organic growth, and leadership succession. Non-performing loans in commercial real estate and construction lending — HOMB's primary categories — face deterioration risk if CRE valuations decline, particularly in Florida and Texas where the bank has significant exposure [3]. The 5-year revenue CAGR of ~7.9% reflects the organic growth limitations of community banking without M&amp;A, and earnings growth of -1.6% YoY in Q1 2026 (before the Mountain Commerce boost) suggests underlying momentum may be slowing [2]. Allison's eventual full retirement (28-year tenure) represents key-man risk — the internal succession pipeline (Hester, Tipton) is in place but unproven at the strategic level, and Allison's deal-making instincts may be difficult to replicate [4]. The Glassdoor rating of 3.2/5 with only 40% of employees recommending the workplace suggests cultural challenges at the front-line level that could affect customer experience and talent retention. The $5.2M data breach settlement (from Happy Bank) highlights cybersecurity governance risk [5]. The PEG ratio of 3.01 exceeds the 3.0 floor. Regional banking faces secular pressure from fintech and neobank competition for deposits and consumer loans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Mountain Commerce Bancorp integration expected to be accretive to EPS, adding $1.47B in loans and expanding HOMB's Tennessee presence with total assets now at $24.7B and potential for further M&amp;A signaled by Chairman Allison [3]</w:t>
      </w:r>
    </w:p>
    <w:p>
      <w:pPr>
        <w:spacing w:before="40" w:after="40"/>
        <w:ind w:left="283"/>
      </w:pPr>
      <w:r>
        <w:rPr>
          <w:rFonts w:ascii="Calibri" w:hAnsi="Calibri"/>
          <w:b/>
          <w:color w:val="4A6B25"/>
          <w:sz w:val="20"/>
        </w:rPr>
        <w:t xml:space="preserve">2. </w:t>
      </w:r>
      <w:r>
        <w:rPr>
          <w:rFonts w:ascii="Calibri" w:hAnsi="Calibri"/>
          <w:b w:val="0"/>
          <w:color w:val="3A4A28"/>
          <w:sz w:val="20"/>
        </w:rPr>
        <w:t>Attractive valuation at 11.37x forward P/E with record adjusted net income of $128.1M and ROA of 2.09% — a premium-quality community bank trading at a discount to book value growth trajectory [6]</w:t>
      </w:r>
    </w:p>
    <w:p>
      <w:pPr>
        <w:spacing w:before="40" w:after="40"/>
        <w:ind w:left="283"/>
      </w:pPr>
      <w:r>
        <w:rPr>
          <w:rFonts w:ascii="Calibri" w:hAnsi="Calibri"/>
          <w:b/>
          <w:color w:val="4A6B25"/>
          <w:sz w:val="20"/>
        </w:rPr>
        <w:t xml:space="preserve">3. </w:t>
      </w:r>
      <w:r>
        <w:rPr>
          <w:rFonts w:ascii="Calibri" w:hAnsi="Calibri"/>
          <w:b w:val="0"/>
          <w:color w:val="3A4A28"/>
          <w:sz w:val="20"/>
        </w:rPr>
        <w:t>Continued dividend growth with conservative 34.3% payout ratio providing substantial room for increases beyond the current $0.86 annual rate and 2.90% yield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CRE and construction loan credit cycle risk — commercial real estate represents HOMB's largest loan category, and property value declines in Florida, Texas, or Tennessee could trigger elevated provisions and compress the 2.09% ROA [3]</w:t>
      </w:r>
    </w:p>
    <w:p>
      <w:pPr>
        <w:spacing w:before="40" w:after="40"/>
        <w:ind w:left="283"/>
      </w:pPr>
      <w:r>
        <w:rPr>
          <w:rFonts w:ascii="Calibri" w:hAnsi="Calibri"/>
          <w:b/>
          <w:color w:val="4A6B25"/>
          <w:sz w:val="20"/>
        </w:rPr>
        <w:t xml:space="preserve">2. </w:t>
      </w:r>
      <w:r>
        <w:rPr>
          <w:rFonts w:ascii="Calibri" w:hAnsi="Calibri"/>
          <w:b w:val="0"/>
          <w:color w:val="3A4A28"/>
          <w:sz w:val="20"/>
        </w:rPr>
        <w:t>Key-man succession risk from Allison's 28-year tenure — internal successors (Hester, Tipton) are in place but his deal-making instincts, industry relationships, and strategic vision may be irreplaceable [4]</w:t>
      </w:r>
    </w:p>
    <w:p>
      <w:pPr>
        <w:spacing w:before="40" w:after="40"/>
        <w:ind w:left="283"/>
      </w:pPr>
      <w:r>
        <w:rPr>
          <w:rFonts w:ascii="Calibri" w:hAnsi="Calibri"/>
          <w:b/>
          <w:color w:val="4A6B25"/>
          <w:sz w:val="20"/>
        </w:rPr>
        <w:t xml:space="preserve">3. </w:t>
      </w:r>
      <w:r>
        <w:rPr>
          <w:rFonts w:ascii="Calibri" w:hAnsi="Calibri"/>
          <w:b w:val="0"/>
          <w:color w:val="3A4A28"/>
          <w:sz w:val="20"/>
        </w:rPr>
        <w:t>Regional banking secular pressure from fintech and neobank competition for deposits and consumer loans, limited organic growth (~7.9% 5-year revenue CAGR), and cybersecurity governance risk highlighted by the $5.2M Happy Bank data breach settlement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Community banking is meaningfully protected from AI disruption by structural barriers: regulatory requirements (bank charter, FDIC insurance, KYC/BSA/AML compliance), relationship-driven commercial real estate and construction lending requiring local market knowledge and on-the-ground collateral assessment, and FDIC-insured deposit-taking that AI companies cannot replicate without bank charters [4]. Centennial Bank's focus on CRE, construction/land development, and agricultural lending involves judgment-intensive underwriting and borrower relationships that resist algorithmic replacement. The 123-year community banking franchise creates trust-based relationships that fintech cannot easily replicate. However, consumer banking operations face moderate AI exposure from neobanks, digital lending platforms, and AI-powered customer service tools that are becoming table stakes for the industry [4]. AI Opportunity (0/1): Home BancShares does not generate AI-related revenue. The bank has adopted digital platforms (FIS IBS, FIS Digital One) but these are vendor solutions, not proprietary AI generating incremental revenue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Home BancShares FY2025 Results — Record $475.4M Annual Net Income, Revenue +7.2%, Sub-40% Efficiency Ratio, $400.2M Loan Growth; Talk Business &amp; Politics, January 2026</w:t>
      </w:r>
    </w:p>
    <w:p>
      <w:pPr>
        <w:spacing w:before="20" w:after="20"/>
        <w:ind w:left="170"/>
      </w:pPr>
      <w:r>
        <w:rPr>
          <w:rFonts w:ascii="Calibri" w:hAnsi="Calibri"/>
          <w:b/>
          <w:color w:val="4A6B25"/>
          <w:sz w:val="15"/>
        </w:rPr>
        <w:t xml:space="preserve">2. </w:t>
      </w:r>
      <w:r>
        <w:rPr>
          <w:rFonts w:ascii="Calibri" w:hAnsi="Calibri"/>
          <w:b w:val="0"/>
          <w:color w:val="3A4A28"/>
          <w:sz w:val="17"/>
        </w:rPr>
        <w:t>Home BancShares Q1 2026 Earnings — Net Income $118.2M (+2.6%), Revenue $266.7M (+2.5%), ROA 2.09%, EPS $0.60; April 2026</w:t>
      </w:r>
    </w:p>
    <w:p>
      <w:pPr>
        <w:spacing w:before="20" w:after="20"/>
        <w:ind w:left="170"/>
      </w:pPr>
      <w:r>
        <w:rPr>
          <w:rFonts w:ascii="Calibri" w:hAnsi="Calibri"/>
          <w:b/>
          <w:color w:val="4A6B25"/>
          <w:sz w:val="15"/>
        </w:rPr>
        <w:t xml:space="preserve">3. </w:t>
      </w:r>
      <w:r>
        <w:rPr>
          <w:rFonts w:ascii="Calibri" w:hAnsi="Calibri"/>
          <w:b w:val="0"/>
          <w:color w:val="3A4A28"/>
          <w:sz w:val="17"/>
        </w:rPr>
        <w:t>Home BancShares Q2 2026 Earnings — Record Adjusted Revenue $295.1M (+8.9%), Adjusted Net Income $128.1M (+11.9%), Mountain Commerce Acquisition Completed April 1, 2026; Arkansas Business/QuiverQuant, July 2026</w:t>
      </w:r>
    </w:p>
    <w:p>
      <w:pPr>
        <w:spacing w:before="20" w:after="20"/>
        <w:ind w:left="170"/>
      </w:pPr>
      <w:r>
        <w:rPr>
          <w:rFonts w:ascii="Calibri" w:hAnsi="Calibri"/>
          <w:b/>
          <w:color w:val="4A6B25"/>
          <w:sz w:val="15"/>
        </w:rPr>
        <w:t xml:space="preserve">4. </w:t>
      </w:r>
      <w:r>
        <w:rPr>
          <w:rFonts w:ascii="Calibri" w:hAnsi="Calibri"/>
          <w:b w:val="0"/>
          <w:color w:val="3A4A28"/>
          <w:sz w:val="17"/>
        </w:rPr>
        <w:t>Home BancShares Leadership — Chairman/CEO John Allison (28 Years), Stephen Tipton (Centennial Bank CEO), Kevin Hester (President), Technology Investments (FIS, Newgen), Glassdoor 3.2/5; homebancshares.com/Glassdoor, 2024-2026</w:t>
      </w:r>
    </w:p>
    <w:p>
      <w:pPr>
        <w:spacing w:before="20" w:after="20"/>
        <w:ind w:left="170"/>
      </w:pPr>
      <w:r>
        <w:rPr>
          <w:rFonts w:ascii="Calibri" w:hAnsi="Calibri"/>
          <w:b/>
          <w:color w:val="4A6B25"/>
          <w:sz w:val="15"/>
        </w:rPr>
        <w:t xml:space="preserve">5. </w:t>
      </w:r>
      <w:r>
        <w:rPr>
          <w:rFonts w:ascii="Calibri" w:hAnsi="Calibri"/>
          <w:b w:val="0"/>
          <w:color w:val="3A4A28"/>
          <w:sz w:val="17"/>
        </w:rPr>
        <w:t>Home BancShares ESG — $5.2M Happy Bank Data Breach Settlement, CSR Director Audra Foster Appointed 2021, Limited Public ESG Reporting; Wikipedia/Sustainalytics, 2023-2026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HOMB Key Statistics: Forward P/E 11.37x, ROE 11.1%, Profit Margin 43.6%, Dividend Yield 2.90%, Stock Price $29.61, Avg Volume 1.74M,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