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HON</w:t>
      </w:r>
      <w:r>
        <w:rPr>
          <w:rFonts w:ascii="Calibri" w:hAnsi="Calibri"/>
          <w:b/>
          <w:color w:val="1A2010"/>
          <w:sz w:val="40"/>
        </w:rPr>
        <w:t xml:space="preserve">  Honeywell Technologies Inc.</w:t>
      </w:r>
    </w:p>
    <w:p>
      <w:pPr>
        <w:spacing w:after="120"/>
      </w:pPr>
      <w:r>
        <w:rPr>
          <w:rFonts w:ascii="Calibri" w:hAnsi="Calibri"/>
          <w:b/>
          <w:color w:val="6E8450"/>
          <w:sz w:val="18"/>
        </w:rPr>
        <w:t>DIVIDEND SLEEVE · 2026-08-28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NASDAQ · United States</w:t>
      </w:r>
    </w:p>
    <w:p>
      <w:pPr>
        <w:spacing w:after="80"/>
      </w:pPr>
      <w:r>
        <w:rPr>
          <w:rFonts w:ascii="Calibri" w:hAnsi="Calibri"/>
          <w:b w:val="0"/>
          <w:color w:val="3A4A28"/>
          <w:sz w:val="20"/>
        </w:rPr>
        <w:t>Honeywell Technologies Inc. is a pure-play automation company formed after the June 29, 2026 spin-off of Honeywell Aerospace (HONA) and a 1-for-2 reverse stock split. The company operates across Building Automation, Industrial Automation, and Energy &amp; Sustainability Solutions segments. CEO Vimal Kapur, a 37-year Honeywell veteran, is leading the transformation. Q2 2026 standalone sales reached $5.2B (+3% YoY, +4% organic), with Building Automation leading at $2.0B (+10%). Full-year guidance: sales $19.8-20.0B, adjusted EPS $8.05-$8.35 (+25-29%). Market cap approximately $73B.</w:t>
      </w:r>
    </w:p>
    <w:p>
      <w:r>
        <w:rPr>
          <w:rFonts w:ascii="Calibri" w:hAnsi="Calibri"/>
          <w:b/>
          <w:color w:val="6E8450"/>
          <w:sz w:val="18"/>
        </w:rPr>
        <w:t>75,000 Employees · https://www.honeywell.com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Honeywell executed the most significant corporate restructuring in its 100+ year history — splitting into three independent publicly traded companies (Honeywell Technologies, Honeywell Aerospace/HONA, and Solstice Advanced Materials) between October 2025 and June 2026 [1][2]. Building Automation led Q2 2026 with sales rising 10% to $2.0B and segment margin expanding 90bps to 27.1%, driven by volume leverage and pricing. Industrial Automation achieved +260bps margin expansion in Q1 2026. AI Deployment (2/2): Honeywell deploys commercially available AI products generating measurable revenue — Experion Cognition (AI platform for autonomous industrial operations, launched Q3 2026), Forge Energy Optimization (closed-loop autonomous building control, one of the most operationally mature AI products in smart buildings), and Niagara (1M+ installed instances providing middleware reach combined with AI analytics) [2]. Digital twins with edge AI that 'see, think, and reason' are shipping to industrial customers. Market Share (2/2): Honeywell holds dominant positions in building automation (Niagara with 1M+ installations), process control (Experion), and industrial safety — market-defining positions in categories the company is actively reshaping through AI [1][2]. Product Pipeline (1/2): Experion Cognition launched Q3 2026, TCS partnership for autonomous building operations (February 2026), and Forge platform expansion provide visible near-term revenue catalysts [2]. R&amp;D Intensity (0/1): Over 60% of R&amp;D is dedicated to ESG-focused solutions, though absolute R&amp;D intensity as a percentage of revenue is at industry average for diversified industrials.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Post-split, Honeywell Technologies positions itself as 'a global pure-play automation company with a legacy of innovating to help solve the world's most mission-critical challenges' [2]. The purpose is clear and connects automation work to broader societal impact (productivity, sustainability, safety), but is not yet distinctive enough to differentiate from peers like Siemens or Emerson — it reads as aspirational rather than deeply lived out during the corporate transformation. Community Impact (1/2): Over 60% of R&amp;D dedicated to solving ESG challenges, greenhouse gas intensity reduced by over 90% since 2004 [3]. However, PFAS contamination settlement ($65M), Superfund site liabilities ($78M), and Edgewater pollution lawsuit represent significant negative community impact that partially offsets positive efforts [3]. Employee Retention (1/2): CEO Kapur's 37-year tenure at Honeywell demonstrates extraordinary personal commitment, Glassdoor rating of 4.1/5 with 88% CEO approval and 75% positive business outlook are strong for a 75,000-person industrial company [2]. However, Glassdoor reviews also cite 'frequent organizational restructuring, job insecurity during business transitions, and slow decision-making due to multiple hierarchy levels' as recurring concerns. Insider Buying (1/2): Kapur's 37-year tenure and equity-based compensation suggest strong alignment, though no specific net insider buying data was identified for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post-spin-off metrics. ROE of 46.58% substantially exceeds the 15% target, reflecting strong capital efficiency in the focused automation business [4]. Profit margin of 21.58% exceeds the 20% target, with segment margins guided to expand 250-290bps to 20.1-20.5% for FY2026 [1]. Forward P/E of 26.64x is above the 20x target but well below the 60x floor (score 0.834). D/E of 185% is elevated, scoring 0.50. Revenue growth YoY of 3% and estimated 5yr CAGR of ~2% both trail 10% targets, reflecting steady-state industrial automation. Dividend metrics are solid: 19 consecutive years of growth, decades of consecutive payment (score 1.0 on both), 53% payout ratio, and 4.8% 5yr dividend growth CAGR. Liquidity easily clears: 3.4M shares x $220 = $748M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Honeywell demonstrates meaningful infinite game characteristics through CEO Kapur's 37-year commitment and the courageous decision to break up a 100+ year-old conglomerate in service of long-term strategic focus. Investment in automation, AI, and sustainability solutions reflects genuine long-term capability building. However, the breakup was influenced by activist pressure from Elliott Investment Management, the environmental legacy liabilities (PFAS, Superfund sites) create tension with the stated mission, and Q2 2026 Glassdoor reviews flag organizational disruption from the spin-off as eroding employee trust.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Honeywell Technologies' purpose — solving the world's most mission-critical challenges through automation — connects the company's work to productivity, sustainability, and safety in ways that matter beyond profit [2]. Over 60% of R&amp;D dedicated to ESG challenges demonstrates purposeful resource allocation [3]. However, the purpose is being reformulated during the three-way corporate split and has not yet been tested through the kind of multi-decade consistency that earns the highest marks. The company is at a founding moment as Honeywell Technologies, not continuing a validated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4.1/5 with 88% CEO approval and 4.3/5 diversity and inclusion rating are strong signals of organizational trust [2]. Kapur's 37-year tenure and rise from engineer to CEO demonstrates a promote-from-within culture. However, the three-way corporate split creates significant organizational uncertainty — Glassdoor reviews cite 'job insecurity during business transitions, fast-changing priorities, and slow decision-making due to multiple hierarchy levels' [2]. The recurring complaint of 'no raises' suggests compensation practices that can erode trust over time.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Honeywell's competitive approach under Kapur focuses on building the best automation platform rather than defeating Siemens, Emerson, or Rockwell. The TCS partnership and AI strategy discussions reference improving industrial operations and customer outcomes, not competitive destruction [2]. Kapur's acknowledgment that Honeywell needed to become a 'leading pure-play automation company' reflects competitive learning from focused peers like Emerson post-AspenTech — using rival strengths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decision to split Honeywell into three independent publicly traded companies represents genuine existential flexibility — voluntarily dismantling a century-old industrial conglomerate to create three focused entities [1][2]. Kapur described this as addressing 'the brutal truth about breaking up an industrial giant.' However, the restructuring was significantly influenced by activist Elliott Investment Management rather than purely purpose-driven, and the core automation businesses remain fundamentally the same pre- and post-spin — this was portfolio simplification, not business model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Breaking up a 100+ year-old conglomerate into three companies requires significant leadership courage — Kapur voluntarily reduced his own empire in service of long-term shareholder and operational value [2]. The continued investment in AI platforms (Experion Cognition, Forge) during the complexity of a three-way split demonstrates commitment to long-term capability building. Q2 2026 results showed segment margin expansion of 250-290bps despite reorganization disruption [1]. However, the PFAS settlement ($65M) and Superfund liabilities ($78M) represent situations where Honeywell prioritized cost management over proactive environmental remediation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Honeywell Technologies at 26.64x forward earnings emerges from the June 29, 2026 Aerospace spin-off as a pure-play automation company with a compelling combination of mature installed base (1M+ Niagara instances, Experion process control), AI-powered growth catalysts (Forge, Experion Cognition launched Q3 2026), and expanding margins — Q2 2026 segment margin expansion of 250-290bps year-over-year to 20.1-20.5%, with Building Automation at 27.1% [1]. FY2026 adjusted EPS guidance of $8.05-$8.35 represents 25-29% growth, driven by margin expansion and operational focus. ROE of 46.58% and profit margin of 21.58% demonstrate strong post-spin capital efficiency [4]. The $9.52 annual dividend (4.3% yield) with 19 consecutive years of growth provides income stability. At $220 the stock offers a reasonable automation pure-play valuation with 3-4% organic revenue growth and improving margin profile.</w:t>
      </w:r>
    </w:p>
    <w:p>
      <w:pPr>
        <w:spacing w:after="120"/>
      </w:pPr>
      <w:r>
        <w:rPr>
          <w:rFonts w:ascii="Calibri" w:hAnsi="Calibri"/>
          <w:b w:val="0"/>
          <w:color w:val="3A4A28"/>
          <w:sz w:val="20"/>
        </w:rPr>
        <w:t>The bear case centers on modest organic growth, elevated leverage, and transformation execution risk. Revenue growth of just 3-4% organic for FY2026 is pedestrian for a company trading at 26.64x forward earnings — peers like Emerson and Rockwell face similar mid-single-digit growth ceilings [1]. D/E of 185% reflects legacy debt that constrains capital allocation flexibility, and any economic cycle deterioration could pressure the balance sheet. The three-way corporate split (Solstice October 2025, Aerospace June 2026) while launching new AI platforms creates organizational complexity — Glassdoor reviews flag 'job insecurity during business transitions' and 'slow decision-making' as active cultural concerns [2]. Legacy environmental liabilities are material: $65M PFAS contamination settlement, $78M Superfund cleanup, and ongoing Edgewater New Jersey pollution lawsuit create contingent financial and reputational exposure [3]. The 5-year revenue CAGR of ~2% reflects the underlying challenge: Honeywell's automation businesses have been relatively low-growth, and AI investments must translate into top-line acceleration to justify the valuation. The Inspire Impact Score of -49 (MISALIGNED) may limit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Post-spin pure-play re-rating as the market values Honeywell Technologies against automation peers (Emerson, Rockwell, Schneider) rather than as a discounted conglomerate, with segment margin expansion toward 22%+ from current 20.1-20.5% guidance [1]</w:t>
      </w:r>
    </w:p>
    <w:p>
      <w:pPr>
        <w:spacing w:before="40" w:after="40"/>
        <w:ind w:left="283"/>
      </w:pPr>
      <w:r>
        <w:rPr>
          <w:rFonts w:ascii="Calibri" w:hAnsi="Calibri"/>
          <w:b/>
          <w:color w:val="4A6B25"/>
          <w:sz w:val="20"/>
        </w:rPr>
        <w:t xml:space="preserve">2. </w:t>
      </w:r>
      <w:r>
        <w:rPr>
          <w:rFonts w:ascii="Calibri" w:hAnsi="Calibri"/>
          <w:b w:val="0"/>
          <w:color w:val="3A4A28"/>
          <w:sz w:val="20"/>
        </w:rPr>
        <w:t>Building Automation growth acceleration driven by Forge Energy Optimization's closed-loop autonomous control, 1M+ Niagara installed base, and 10% Q2 revenue growth to $2.0B demonstrating near-term momentum [1]</w:t>
      </w:r>
    </w:p>
    <w:p>
      <w:pPr>
        <w:spacing w:before="40" w:after="40"/>
        <w:ind w:left="283"/>
      </w:pPr>
      <w:r>
        <w:rPr>
          <w:rFonts w:ascii="Calibri" w:hAnsi="Calibri"/>
          <w:b/>
          <w:color w:val="4A6B25"/>
          <w:sz w:val="20"/>
        </w:rPr>
        <w:t xml:space="preserve">3. </w:t>
      </w:r>
      <w:r>
        <w:rPr>
          <w:rFonts w:ascii="Calibri" w:hAnsi="Calibri"/>
          <w:b w:val="0"/>
          <w:color w:val="3A4A28"/>
          <w:sz w:val="20"/>
        </w:rPr>
        <w:t>Experion Cognition AI platform commercially launched Q3 2026, positioned to capture growing demand for AI-driven autonomous industrial operations across refining, chemicals, and manufacturing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Organic revenue growth of 3-4% is inadequate to justify the 26.64x forward P/E multiple — any cyclical slowdown in building automation or process industries could compress growth to flat or negative, triggering multiple contraction [1]</w:t>
      </w:r>
    </w:p>
    <w:p>
      <w:pPr>
        <w:spacing w:before="40" w:after="40"/>
        <w:ind w:left="283"/>
      </w:pPr>
      <w:r>
        <w:rPr>
          <w:rFonts w:ascii="Calibri" w:hAnsi="Calibri"/>
          <w:b/>
          <w:color w:val="4A6B25"/>
          <w:sz w:val="20"/>
        </w:rPr>
        <w:t xml:space="preserve">2. </w:t>
      </w:r>
      <w:r>
        <w:rPr>
          <w:rFonts w:ascii="Calibri" w:hAnsi="Calibri"/>
          <w:b w:val="0"/>
          <w:color w:val="3A4A28"/>
          <w:sz w:val="20"/>
        </w:rPr>
        <w:t>Three-way corporate split execution risk — simultaneous separation of Aerospace and Advanced Materials while launching new AI products creates management distraction, and Glassdoor reviews already cite organizational disruption, job insecurity, and decision-making paralysis [2]</w:t>
      </w:r>
    </w:p>
    <w:p>
      <w:pPr>
        <w:spacing w:before="40" w:after="40"/>
        <w:ind w:left="283"/>
      </w:pPr>
      <w:r>
        <w:rPr>
          <w:rFonts w:ascii="Calibri" w:hAnsi="Calibri"/>
          <w:b/>
          <w:color w:val="4A6B25"/>
          <w:sz w:val="20"/>
        </w:rPr>
        <w:t xml:space="preserve">3. </w:t>
      </w:r>
      <w:r>
        <w:rPr>
          <w:rFonts w:ascii="Calibri" w:hAnsi="Calibri"/>
          <w:b w:val="0"/>
          <w:color w:val="3A4A28"/>
          <w:sz w:val="20"/>
        </w:rPr>
        <w:t>Legacy environmental liabilities including $65M PFAS contamination settlement, $78M Superfund cleanup, and ongoing Edgewater pollution lawsuit create contingent financial and reputational exposure that constrains balance sheet flexibility alongside D/E of 185%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Post-split, Honeywell Technologies is positioned as a pure-play automation company where AI is firmly an enabler, not a threat — the company IS deploying AI to transform building automation, industrial operations, and energy management [2]. Honeywell's deep operational technology expertise, 1M+ Niagara installations, and decades of embedded relationships in industrial facilities create formidable moats that pure-play AI companies cannot easily replicate. Process control, building management, and industrial safety require deep domain expertise, regulatory compliance, and physical infrastructure that AI alone cannot substitute. The Forge platform's closed-loop autonomous building control is among the most mature deployed AI products in the industrial sector. AI Opportunity (1/1): Honeywell generates quantifiable revenue from AI products — Experion Cognition (launched Q3 2026), Forge Energy Optimization (commercially deployed), and the TCS partnership for autonomous building operations all represent shipping AI solutions generating customer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Honeywell Technologies Q2 2026 Earnings Release — Standalone Sales $5.2B (+3% YoY, +4% organic), Building Automation $2.0B (+10%), Segment Margin Expansion 250-290bps to 20.1-20.5%, FY2026 Adj EPS Guidance $8.05-$8.35 (+25-29%), July 2026</w:t>
      </w:r>
    </w:p>
    <w:p>
      <w:pPr>
        <w:spacing w:before="20" w:after="20"/>
        <w:ind w:left="170"/>
      </w:pPr>
      <w:r>
        <w:rPr>
          <w:rFonts w:ascii="Calibri" w:hAnsi="Calibri"/>
          <w:b/>
          <w:color w:val="4A6B25"/>
          <w:sz w:val="15"/>
        </w:rPr>
        <w:t xml:space="preserve">2. </w:t>
      </w:r>
      <w:r>
        <w:rPr>
          <w:rFonts w:ascii="Calibri" w:hAnsi="Calibri"/>
          <w:b w:val="0"/>
          <w:color w:val="3A4A28"/>
          <w:sz w:val="17"/>
        </w:rPr>
        <w:t>Honeywell CEO Vimal Kapur on AI, Automation, and Corporate Transformation — StarupHub.ai, Fortune, Glassdoor Reviews, Automation Thought Leadership Series, 2025-2026</w:t>
      </w:r>
    </w:p>
    <w:p>
      <w:pPr>
        <w:spacing w:before="20" w:after="20"/>
        <w:ind w:left="170"/>
      </w:pPr>
      <w:r>
        <w:rPr>
          <w:rFonts w:ascii="Calibri" w:hAnsi="Calibri"/>
          <w:b/>
          <w:color w:val="4A6B25"/>
          <w:sz w:val="15"/>
        </w:rPr>
        <w:t xml:space="preserve">3. </w:t>
      </w:r>
      <w:r>
        <w:rPr>
          <w:rFonts w:ascii="Calibri" w:hAnsi="Calibri"/>
          <w:b w:val="0"/>
          <w:color w:val="3A4A28"/>
          <w:sz w:val="17"/>
        </w:rPr>
        <w:t>Honeywell ESG, Environmental Liabilities — PFAS Settlement ($65M), Superfund ($78M), Edgewater Lawsuit, GHG Intensity Reduction 90%+ Since 2004, 60% ESG-Focused R&amp;D, 2023-2026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Yahoo Finance — HON Key Statistics: Forward P/E 26.64x, ROE 46.58%, D/E 185%, Profit Margin 21.58%, Dividend Yield 4.32%, Stock Price $220.39,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