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HOOD</w:t>
      </w:r>
      <w:r>
        <w:rPr>
          <w:rFonts w:ascii="Calibri" w:hAnsi="Calibri"/>
          <w:b/>
          <w:color w:val="1A2010"/>
          <w:sz w:val="40"/>
        </w:rPr>
        <w:t xml:space="preserve">  Robinhood Markets, Inc.</w:t>
      </w:r>
    </w:p>
    <w:p>
      <w:pPr>
        <w:spacing w:after="120"/>
      </w:pPr>
      <w:r>
        <w:rPr>
          <w:rFonts w:ascii="Calibri" w:hAnsi="Calibri"/>
          <w:b/>
          <w:color w:val="6E8450"/>
          <w:sz w:val="18"/>
        </w:rPr>
        <w:t>GROWTH SLEEVE · 2026-08-28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Fintech · NASDAQ · United States</w:t>
      </w:r>
    </w:p>
    <w:p>
      <w:pPr>
        <w:spacing w:after="80"/>
      </w:pPr>
      <w:r>
        <w:rPr>
          <w:rFonts w:ascii="Calibri" w:hAnsi="Calibri"/>
          <w:b w:val="0"/>
          <w:color w:val="3A4A28"/>
          <w:sz w:val="20"/>
        </w:rPr>
        <w:t>Robinhood Markets, Inc. operates a financial services platform offering commission-free trading in equities, options, futures, cryptocurrencies, and prediction markets. Q2 2026 delivered record revenue of $1.31B (+32% YoY) with adjusted EBITDA of $741M (57% margin) and diluted EPS of $0.62 (+48% YoY). The company now has 13 business lines exceeding $100M annualized revenue. Assets under custody of $143.6B+, with expansion into banking, credit cards, and international markets. Market cap approximately $80B.</w:t>
      </w:r>
    </w:p>
    <w:p>
      <w:r>
        <w:rPr>
          <w:rFonts w:ascii="Calibri" w:hAnsi="Calibri"/>
          <w:b/>
          <w:color w:val="6E8450"/>
          <w:sz w:val="18"/>
        </w:rPr>
        <w:t>3,800 Employees · https://www.robinhood.com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Robinhood executed multiple successful product launches over the past 5 years that redefined the company: prediction markets (fastest-growing product line ever with 11B+ contracts traded by 1M+ customers), retirement accounts (crossing $30B in assets), Gold subscription (4.3M+ subscribers, +36% YoY), event contracts (+320% YoY revenue), and expansion into futures, credit cards, and banking services [1][2]. Q2 2026 results validated the multi-product strategy with record revenue of $1.31B (+32% YoY) and 13 business lines each exceeding $100M annualized revenue — including Robinhood Legend and credit card added in Q2 [1]. AI Deployment (1/2): CEO Tenev declared AI a 'huge platform shift' and stated 'every company will become an AI company — but faster' [3]. Robinhood integrates AI for personalized market insights and trading tools, but no specific AI-driven revenue figures have been disclosed. Market Share (2/2): Dominant retail fintech broker for younger demographics with $143.6B+ in assets under custody and record net deposits of $18B in Q1 2026 (22% annualized growth rate), taking meaningful share from legacy brokers [1][2]. Product Pipeline (1/2): International expansion (UK, EU, Asia-Pacific), enhanced prediction markets product lines, and AI-powered advisory tools are in development, though specific timelines remain vague. R&amp;D Intensity (1/1): Tightened 2026 expense guidance while increasing technology investment, with adjusted operating expenses of $641M in Q2 coming below earlier outlook — demonstrating disciplined but substantial R&amp;D commitment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Robinhood's mission to 'democratize finance for all' is specific, purpose-driven, and has shaped strategic decisions from commission-free trading to fractional shares to retirement accounts for underserved demographics [3]. However, the 2021 GameStop trading restrictions directly contradicted the democratization mission, and the $70M FINRA penalty for customer harm raised questions about whether purpose is consistently lived out [4]. Community Impact (1/2): Robinhood Foundation invests in financial literacy programs, and the platform itself brought millions of first-time investors into markets — a genuine societal contribution to financial inclusion, though specific charitable dollar amounts are modest and not prominently disclosed. Employee Retention (0/2): No specific retention data available; the company executed significant layoffs cutting from ~3,800 to 2,300 employees in 2023-2024 before rebuilding to 3,800+, suggesting workforce instability. Glassdoor reviews describe a mixed culture: 'extremely collaborative and open to testing new ideas' but 'post-IPO the culture and excitement has declined, with leadership changes, RIFs, and poor strategic direction' [3]. Insider Buying (1/2): $1.2B share repurchase program since Q3 2024 ($250M in Q1 2026) signals corporate confidence, but this is buyback rather than personal insider purchasing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Revenue growth is exceptional: Q2 2026 revenue of $1.31B grew 32% YoY, and 5-year revenue CAGR exceeds 30%, both well above the 10% target (scores 1.0 each) [1]. Profit margin of 42.01% more than doubles the 20% target. ROE of 23.62% exceeds the 15% target [5]. The primary drags are valuation and leverage: Forward P/E of 45.66x is well above the 20x target (score 0.359), and the forward PEG of ~2.3 is above the 1.0 target with 2x weight (score 0.35). D/E of 240% is elevated for a fintech, reflecting balance sheet structure with broker-dealer liabilities, scoring only 0.261. Liquidity is excellent: 25.2M shares x ~$95 = $2.4B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Robinhood shows mixed infinite game characteristics. The founding mission to democratize finance is genuine and has shaped strategic decisions, but the company's history of chasing market trends (meme stocks, crypto, prediction markets) and the 2021 GameStop episode revealed tension between stated purpose and execution under pressure. Q2 2026's record results demonstrate product diversification resilience, but the company is still young (founded 2013) and has not been tested across CEO transitions or prolonged market downturns. Sinek would note the mission is compelling but unvalidated through sustained adversity.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mission to 'democratize finance for all' is genuine, distinctive, and has driven product decisions from commission-free trading to fractional shares to retirement accounts for underserved investors [3]. The expansion to 13 business lines at $100M+ ARR reflects genuine pursuit of financial democratization across trading, banking, and credit. However, the 2021 GameStop trading halt and $70M FINRA penalty directly contradicted the mission, and the cause has not been validated across decades or leadership transitions [4].</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Robinhood has an engineering-driven culture that Glassdoor describes as 'extremely collaborative and open to testing new ideas.' However, the 2023 layoffs cutting 23% of staff and subsequent workforce rebuilding suggest organizational instability rather than a stable Circle of Safety [3]. CEO Tenev remains the dominant force, and rapid strategic pivots (crypto → prediction markets → banking) create uncertainty for employees about long-term direction. Post-IPO cultural decline noted in Glassdoor reviews is a concern.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Robinhood consistently uses competitive pressure from Schwab, Fidelity, and Interactive Brokers to improve its own platform rather than engaging in destructive competitive rhetoric. The response to competition has been product innovation — prediction markets, Gold subscription, retirement accounts, credit cards — framing rivals as motivation to build better products rather than enemies to defeat [1][3].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Robinhood has expanded meaningfully from pure equity trading into crypto, prediction markets, retirement accounts, credit cards, banking services, and international markets — now with 13 business lines at $100M+ ARR demonstrating real strategic evolution [1][2]. However, these were additive expansions to the core self-directed trading model rather than transformative pivots that abandoned an existing profitable business. The core product remains the trading interface.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Robinhood courageously launched prediction markets, creating an entirely new US retail product category that became the fastest-growing product line, and invested in crypto infrastructure despite regulatory uncertainty [1]. Tightening expense guidance while maintaining innovation investment in Q2 2026 shows fiscal discipline. However, the GameStop trading halt prioritized institutional capital requirements over the stated mission of democratizing finance, revealing limits to courageous leadership when the cost is existential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Robinhood delivered record Q2 2026 results with revenue of $1.31B (+32% YoY), adjusted EBITDA of $741M (57% margin), and diluted EPS of $0.62 (+48% YoY), demonstrating a scaled fintech platform with exceptional profitability [1]. Diversification is validated: 13 business lines now exceed $100M annualized revenue, including Robinhood Legend and credit card added in Q2. TTM revenue of $4.93B with $2.07B in net income and profit margin of 42% reflect best-in-class unit economics for a fintech at scale [5]. Net deposits of $18B in Q1 (22% annualized growth) and AUC of $143.6B+ show the platform continues to attract meaningful customer assets. The multi-product super-app model — trading, banking, credit cards, prediction markets, retirement — creates cross-selling opportunities that deepen the customer relationship beyond transactional trading.</w:t>
      </w:r>
    </w:p>
    <w:p>
      <w:pPr>
        <w:spacing w:after="120"/>
      </w:pPr>
      <w:r>
        <w:rPr>
          <w:rFonts w:ascii="Calibri" w:hAnsi="Calibri"/>
          <w:b w:val="0"/>
          <w:color w:val="3A4A28"/>
          <w:sz w:val="20"/>
        </w:rPr>
        <w:t>The primary concern is valuation amid volatile revenue composition. At 45.66x forward earnings, the stock prices in sustained high growth, yet Robinhood's revenue mix remains exposed to crypto trading volumes, prediction market engagement, and market sentiment cycles [1]. The $70M FINRA penalty for customer harm underscores persistent regulatory risk across prediction markets (CFTC), crypto (SEC), and options trading [4]. D/E of 240% reflects complex balance sheet structure with broker-dealer liabilities that amplify risk during market stress. Glassdoor reviews flag post-IPO cultural decline — 'leadership changes, RIFs, and poor strategic direction' — despite strong recent financial performance [3]. The young, risk-seeking customer base may prove fickle during prolonged market downturns, and the Q2 revenue acceleration to 32% from Q1's 15% may reflect favorable market conditions rather than sustainable structural growth. The Inspire Impact Score of -49 (MISALIGNED) may limit faith-based investor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Multi-product super-app flywheel with 13 business lines at $100M+ ARR creates durable cross-selling revenue and deepens customer relationships beyond transactional trading — Gold subscribers, credit card, banking, and retirement accounts drive recurring non-trading revenue [1]</w:t>
      </w:r>
    </w:p>
    <w:p>
      <w:pPr>
        <w:spacing w:before="40" w:after="40"/>
        <w:ind w:left="283"/>
      </w:pPr>
      <w:r>
        <w:rPr>
          <w:rFonts w:ascii="Calibri" w:hAnsi="Calibri"/>
          <w:b/>
          <w:color w:val="4A6B25"/>
          <w:sz w:val="20"/>
        </w:rPr>
        <w:t xml:space="preserve">2. </w:t>
      </w:r>
      <w:r>
        <w:rPr>
          <w:rFonts w:ascii="Calibri" w:hAnsi="Calibri"/>
          <w:b w:val="0"/>
          <w:color w:val="3A4A28"/>
          <w:sz w:val="20"/>
        </w:rPr>
        <w:t>International expansion into UK, EU, and Asia-Pacific markets could unlock new customer segments and TAM beyond the maturing US retail base, leveraging the proven product suite globally [1]</w:t>
      </w:r>
    </w:p>
    <w:p>
      <w:pPr>
        <w:spacing w:before="40" w:after="40"/>
        <w:ind w:left="283"/>
      </w:pPr>
      <w:r>
        <w:rPr>
          <w:rFonts w:ascii="Calibri" w:hAnsi="Calibri"/>
          <w:b/>
          <w:color w:val="4A6B25"/>
          <w:sz w:val="20"/>
        </w:rPr>
        <w:t xml:space="preserve">3. </w:t>
      </w:r>
      <w:r>
        <w:rPr>
          <w:rFonts w:ascii="Calibri" w:hAnsi="Calibri"/>
          <w:b w:val="0"/>
          <w:color w:val="3A4A28"/>
          <w:sz w:val="20"/>
        </w:rPr>
        <w:t>Prediction markets expansion with continued regulatory approvals enabling new contract types, building on the category-defining product that became the fastest-growing line in company history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45.66x leaves minimal margin of safety — revenue composition remains exposed to crypto trading volumes, prediction market engagement, and market sentiment cycles that drove Q2 acceleration to 32% but could reverse rapidly in a downturn [1]</w:t>
      </w:r>
    </w:p>
    <w:p>
      <w:pPr>
        <w:spacing w:before="40" w:after="40"/>
        <w:ind w:left="283"/>
      </w:pPr>
      <w:r>
        <w:rPr>
          <w:rFonts w:ascii="Calibri" w:hAnsi="Calibri"/>
          <w:b/>
          <w:color w:val="4A6B25"/>
          <w:sz w:val="20"/>
        </w:rPr>
        <w:t xml:space="preserve">2. </w:t>
      </w:r>
      <w:r>
        <w:rPr>
          <w:rFonts w:ascii="Calibri" w:hAnsi="Calibri"/>
          <w:b w:val="0"/>
          <w:color w:val="3A4A28"/>
          <w:sz w:val="20"/>
        </w:rPr>
        <w:t>Multi-front regulatory risk from SEC, CFTC, FINRA, and state regulators across prediction markets, crypto, and options trading could constrain the fastest-growing product lines — the $70M FINRA penalty demonstrates ongoing enforcement exposure [4]</w:t>
      </w:r>
    </w:p>
    <w:p>
      <w:pPr>
        <w:spacing w:before="40" w:after="40"/>
        <w:ind w:left="283"/>
      </w:pPr>
      <w:r>
        <w:rPr>
          <w:rFonts w:ascii="Calibri" w:hAnsi="Calibri"/>
          <w:b/>
          <w:color w:val="4A6B25"/>
          <w:sz w:val="20"/>
        </w:rPr>
        <w:t xml:space="preserve">3. </w:t>
      </w:r>
      <w:r>
        <w:rPr>
          <w:rFonts w:ascii="Calibri" w:hAnsi="Calibri"/>
          <w:b w:val="0"/>
          <w:color w:val="3A4A28"/>
          <w:sz w:val="20"/>
        </w:rPr>
        <w:t>Customer concentration in young, risk-seeking demographics with a post-IPO cultural decline flagged by employees means both asset growth and talent retention are disproportionately exposed to market sentiment and competitive poaching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Robinhood's brokerage platform faces moderate AI disruption risk. AI-powered financial advisors, robo-advisors, and autonomous trading agents could challenge the self-directed retail model, and AI-native competitors could build superior user experiences from scratch. However, Robinhood's regulatory licenses (broker-dealer, money transmitter), customer asset custody infrastructure, $143.6B+ in custodied assets, and established brand with 13 business lines at $100M+ ARR create meaningful switching costs that AI alone cannot replicate [1]. Prediction markets and crypto trading involve regulated money custody providing structural protection. The risk is that AI commoditizes the trading interface layer while new entrants capture the intelligence layer. AI Opportunity (1/1): CEO Tenev has positioned AI as central to Robinhood's future — 'every company will become an AI company — but faster' — and the platform deploys AI for personalized insights and trading optimization [3]. While AI-specific revenue is not separately disclosed, AI augments the platform experience driving customer engagement and ARPU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Robinhood Q2 2026 Earnings Release — Record Revenue $1.31B (+32% YoY), Adj EBITDA $741M (57% Margin), EPS $0.62 (+48%), 13 Business Lines at $100M+ ARR, July 29, 2026</w:t>
      </w:r>
    </w:p>
    <w:p>
      <w:pPr>
        <w:spacing w:before="20" w:after="20"/>
        <w:ind w:left="170"/>
      </w:pPr>
      <w:r>
        <w:rPr>
          <w:rFonts w:ascii="Calibri" w:hAnsi="Calibri"/>
          <w:b/>
          <w:color w:val="4A6B25"/>
          <w:sz w:val="15"/>
        </w:rPr>
        <w:t xml:space="preserve">2. </w:t>
      </w:r>
      <w:r>
        <w:rPr>
          <w:rFonts w:ascii="Calibri" w:hAnsi="Calibri"/>
          <w:b w:val="0"/>
          <w:color w:val="3A4A28"/>
          <w:sz w:val="17"/>
        </w:rPr>
        <w:t>Robinhood Product Expansion — Prediction Markets, Gold Subscribers 4.3M+, Retirement $30B+, Banking, Credit Card, Event Contracts +320% YoY, 2025-2026</w:t>
      </w:r>
    </w:p>
    <w:p>
      <w:pPr>
        <w:spacing w:before="20" w:after="20"/>
        <w:ind w:left="170"/>
      </w:pPr>
      <w:r>
        <w:rPr>
          <w:rFonts w:ascii="Calibri" w:hAnsi="Calibri"/>
          <w:b/>
          <w:color w:val="4A6B25"/>
          <w:sz w:val="15"/>
        </w:rPr>
        <w:t xml:space="preserve">3. </w:t>
      </w:r>
      <w:r>
        <w:rPr>
          <w:rFonts w:ascii="Calibri" w:hAnsi="Calibri"/>
          <w:b w:val="0"/>
          <w:color w:val="3A4A28"/>
          <w:sz w:val="17"/>
        </w:rPr>
        <w:t>Robinhood CEO Vlad Tenev on AI, Culture, and Innovation — WebProNews, Fortune, Glassdoor Reviews, 2025-2026</w:t>
      </w:r>
    </w:p>
    <w:p>
      <w:pPr>
        <w:spacing w:before="20" w:after="20"/>
        <w:ind w:left="170"/>
      </w:pPr>
      <w:r>
        <w:rPr>
          <w:rFonts w:ascii="Calibri" w:hAnsi="Calibri"/>
          <w:b/>
          <w:color w:val="4A6B25"/>
          <w:sz w:val="15"/>
        </w:rPr>
        <w:t xml:space="preserve">4. </w:t>
      </w:r>
      <w:r>
        <w:rPr>
          <w:rFonts w:ascii="Calibri" w:hAnsi="Calibri"/>
          <w:b w:val="0"/>
          <w:color w:val="3A4A28"/>
          <w:sz w:val="17"/>
        </w:rPr>
        <w:t>Robinhood Regulatory History — $70M FINRA Penalty, SEC/CFTC Oversight, ESG Fact Sheet 2024</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Yahoo Finance — HOOD Key Statistics: Forward P/E 45.66x, ROE 23.62%, D/E 240%, Profit Margin 42.01%, Stock Price ~$95,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