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HPP</w:t>
      </w:r>
      <w:r>
        <w:rPr>
          <w:rFonts w:ascii="Calibri" w:hAnsi="Calibri"/>
          <w:b/>
          <w:color w:val="1A2010"/>
          <w:sz w:val="40"/>
        </w:rPr>
        <w:t xml:space="preserve">  Hudson Pacific Properties, Inc.</w:t>
      </w:r>
    </w:p>
    <w:p>
      <w:pPr>
        <w:spacing w:after="120"/>
      </w:pPr>
      <w:r>
        <w:rPr>
          <w:rFonts w:ascii="Calibri" w:hAnsi="Calibri"/>
          <w:b/>
          <w:color w:val="6E8450"/>
          <w:sz w:val="18"/>
        </w:rPr>
        <w:t>GROWTH SLEEVE · 2026-09-21 · Inspire: 66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Real Estate · REIT - Office · NYSE · United States</w:t>
      </w:r>
    </w:p>
    <w:p>
      <w:pPr>
        <w:spacing w:after="80"/>
      </w:pPr>
      <w:r>
        <w:rPr>
          <w:rFonts w:ascii="Calibri" w:hAnsi="Calibri"/>
          <w:b w:val="0"/>
          <w:color w:val="3A4A28"/>
          <w:sz w:val="20"/>
        </w:rPr>
        <w:t>Hudson Pacific Properties is a REIT focused on creative office and studio properties on the West Coast, with assets in San Francisco, Silicon Valley, Seattle, Los Angeles, and Vancouver. The company targets tech and media tenants, offering premium amenitized workspaces and sound stage/production facilities. HPP was among the first major real estate companies to achieve 100% carbon neutrality across all operations and maintains the Better Blueprint ESG platform.</w:t>
      </w:r>
    </w:p>
    <w:p>
      <w:r>
        <w:rPr>
          <w:rFonts w:ascii="Calibri" w:hAnsi="Calibri"/>
          <w:b/>
          <w:color w:val="6E8450"/>
          <w:sz w:val="18"/>
        </w:rPr>
        <w:t>607 Employees · https://www.hudsonpacificproperties.com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Q4 2025 revenue of $256.0M beat estimates but was inflated by an $81M Element LA lease termination fee rather than organic growth [1]. HPP executed approximately $330M in asset sales and $2B in capital transactions during 2025, demonstrating balance sheet management but not product innovation [1]. FY2026 FFO guidance of $0.96-$1.06 reflects expected sequential recovery beginning Q2. No meaningful AI deployment in property operations; AI relevance is purely through tenant demand with AI-related tenants representing nearly 60% of recent San Francisco leasing [1]. The NAIOP 2021 Developer of the Year award and Better Blueprint sustainability platform show some differentiation, but the company lacks proprietary technology or R&amp;D investment [4].</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CEO Victor Coleman founded HPP in 2006 and led its IPO in 2010, demonstrating long-term entrepreneurial commitment [3]. Corporate culture is described as collaborative and entrepreneurial with approachable management [3]. The Better Blueprint ESG platform and 100% carbon neutrality achievement in 2020 provide genuine mission-driven credibility [4]. However, the company has endured severe financial stress — dividend suspended, net losses deepening from -$35M in 2022 to -$562M in 2025, and stock price falling over 40% from its 52-week high of $20.09 to $11.51 [2]. With only 607 employees, the organization lacks the scale for broad cultural impact.</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AT RISK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HPP's financial profile is deeply distressed across nearly every metric. ROE of -17.25% and profit margin of -67.88% indicate sustained value destruction, with net losses widening from -$35M (2022) to -$562M (2025) [2]. Revenue declined from $1.03B in 2022 to $831M in 2025, a 3-year CAGR of approximately -6.8%. Forward PE is negative at -4.08 (unprofitable), PEG of 6.93 signals extremely poor growth-adjusted valuation, and D/E of 123% adds leverage risk atop negative earnings [2]. The common dividend remains suspended, eliminating a core REIT value proposition. Liquidity floor cleared: 734K avg volume x $11.51 = $8.5M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HPP demonstrates tactical flexibility through aggressive asset sales and deleveraging but lacks a compelling long-term vision beyond surviving the office downturn. The willingness to make painful decisions — dividend suspension, $330M in asset sales, 22% net debt reduction — shows pragmatic leadership, but persistent losses and a shrinking portfolio raise questions about sustainable competitive advantage.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HPP's Better Blueprint platform and early achievement of 100% carbon neutrality demonstrate environmental conviction beyond pure profit motive [4]. The vision of creating 'sustainable, healthy, and equitable' buildings connects real estate to broader social goals. However, this cause has been overshadowed by the survival imperative — suspended dividend, ongoing losses, and a stock that has fallen dramatically from prior highs.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With only 607 employees, HPP operates a lean organization with leadership described as collaborative and entrepreneurial [3]. However, significant workforce reductions during 2023-2025 (down from larger headcount) and sustained financial distress have likely strained employee trust and morale. The small team size means cultural dynamics are heavily influenced by top leadership's decisions during this challenging period.</w:t>
      </w:r>
    </w:p>
    <w:p>
      <w:pPr>
        <w:spacing w:before="200" w:after="40"/>
      </w:pPr>
      <w:r>
        <w:rPr>
          <w:rFonts w:ascii="Calibri" w:hAnsi="Calibri"/>
          <w:b/>
          <w:color w:val="1A2010"/>
          <w:sz w:val="22"/>
        </w:rPr>
        <w:t>Worthy Rivals</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HPP competes against larger, better-capitalized office REITs including Boston Properties, Kilroy Realty, and Vornado in West Coast markets. The studio platform differentiates HPP from pure-play office peers, but its smaller scale and weaker balance sheet put it at a competitive disadvantage. Management's focus on AI tenant demand as a recovery catalyst shows market awareness rather than competitive complacency.</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HPP has shown meaningful strategic adaptation: $330M in asset sales, $2B in capital transactions reducing net debt 22%, and liquidity boosted to $934M [1]. The pivot toward AI-tenant-focused leasing and earlier expansion into studios as a hedge against pure office exposure demonstrate flexibility. Willingness to suspend the dividend and restructure the balance sheet shows adaptation over rigidity, though driven by necessity rather than proactive vision.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Management made difficult decisions to suspend the common dividend and pursue aggressive deleveraging, prioritizing balance sheet health over short-term shareholder returns [1]. FY2026 FFO guidance of $0.96-$1.06/share with transparency about same-store NOI declines of -1.75% to -0.75% shows honest investor communication [1]. The question remains whether leadership was too slow to recognize the post-pandemic office shift before these drastic measures became necessary.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Hudson Pacific Properties is a deeply distressed office REIT navigating the secular decline in West Coast office demand driven by remote and hybrid work adoption. Revenue has declined from $1.03B in 2022 to $831M in 2025, net losses have widened to -$562M, and the common dividend remains suspended. The stock trades at $11.51, down over 40% from its 52-week high of $20.09 and reflecting profound market skepticism about the recovery timeline.</w:t>
      </w:r>
    </w:p>
    <w:p>
      <w:pPr>
        <w:spacing w:after="120"/>
      </w:pPr>
      <w:r>
        <w:rPr>
          <w:rFonts w:ascii="Calibri" w:hAnsi="Calibri"/>
          <w:b w:val="0"/>
          <w:color w:val="3A4A28"/>
          <w:sz w:val="20"/>
        </w:rPr>
        <w:t>Management is executing a survival strategy — $330M in asset sales, 22% net debt reduction, liquidity boosted to $934M — while AI-tenant demand (60% of recent SF leasing) provides a potential inflection catalyst [1]. The studio platform offers differentiation from pure-play office peers. However, with ROE of -17.25%, profit margin of -67.88%, negative forward earnings, and a PEG ratio of 6.93, the financial profile remains deeply impaired [2]. FY2026 FFO guidance of $0.96-$1.06 with same-store NOI guided down -1.75% to -0.75% suggests the trough is forming but recovery will be gradual. The strong Inspire score of 66 (ALIGNED) with 15 positive ESG attributions reflects genuine sustainability leadership, but financial fundamentals do not support a constructive investment thesis at this time.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AI tenant demand representing ~60% of recent San Francisco leasing activity could drive occupancy above the guided 80-82% range as the AI buildout requires physical office presence [1]</w:t>
      </w:r>
    </w:p>
    <w:p>
      <w:pPr>
        <w:spacing w:before="40" w:after="40"/>
        <w:ind w:left="283"/>
      </w:pPr>
      <w:r>
        <w:rPr>
          <w:rFonts w:ascii="Calibri" w:hAnsi="Calibri"/>
          <w:b/>
          <w:color w:val="4A6B25"/>
          <w:sz w:val="20"/>
        </w:rPr>
        <w:t xml:space="preserve">2. </w:t>
      </w:r>
      <w:r>
        <w:rPr>
          <w:rFonts w:ascii="Calibri" w:hAnsi="Calibri"/>
          <w:b w:val="0"/>
          <w:color w:val="3A4A28"/>
          <w:sz w:val="20"/>
        </w:rPr>
        <w:t>Sequential FFO improvement expected beginning Q2 2026 with full-year guidance of $0.96-$1.06, suggesting operational trough is forming after years of deterioration [1]</w:t>
      </w:r>
    </w:p>
    <w:p>
      <w:pPr>
        <w:spacing w:before="40" w:after="40"/>
        <w:ind w:left="283"/>
      </w:pPr>
      <w:r>
        <w:rPr>
          <w:rFonts w:ascii="Calibri" w:hAnsi="Calibri"/>
          <w:b/>
          <w:color w:val="4A6B25"/>
          <w:sz w:val="20"/>
        </w:rPr>
        <w:t xml:space="preserve">3. </w:t>
      </w:r>
      <w:r>
        <w:rPr>
          <w:rFonts w:ascii="Calibri" w:hAnsi="Calibri"/>
          <w:b w:val="0"/>
          <w:color w:val="3A4A28"/>
          <w:sz w:val="20"/>
        </w:rPr>
        <w:t>Continued deleveraging with $934M in liquidity and 22% net debt reduction positioning HPP for potential dividend reinstatement as FFO stabilizes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Severe financial distress — ROE of -17.25%, profit margin of -67.88%, and net losses of -$562M in 2025 indicate sustained value destruction with uncertain path to profitability [2]</w:t>
      </w:r>
    </w:p>
    <w:p>
      <w:pPr>
        <w:spacing w:before="40" w:after="40"/>
        <w:ind w:left="283"/>
      </w:pPr>
      <w:r>
        <w:rPr>
          <w:rFonts w:ascii="Calibri" w:hAnsi="Calibri"/>
          <w:b/>
          <w:color w:val="4A6B25"/>
          <w:sz w:val="20"/>
        </w:rPr>
        <w:t xml:space="preserve">2. </w:t>
      </w:r>
      <w:r>
        <w:rPr>
          <w:rFonts w:ascii="Calibri" w:hAnsi="Calibri"/>
          <w:b w:val="0"/>
          <w:color w:val="3A4A28"/>
          <w:sz w:val="20"/>
        </w:rPr>
        <w:t>Structural remote work headwinds — 3-year revenue CAGR of -6.8% may reflect permanent West Coast office demand impairment rather than a cyclical trough [2]</w:t>
      </w:r>
    </w:p>
    <w:p>
      <w:pPr>
        <w:spacing w:before="40" w:after="40"/>
        <w:ind w:left="283"/>
      </w:pPr>
      <w:r>
        <w:rPr>
          <w:rFonts w:ascii="Calibri" w:hAnsi="Calibri"/>
          <w:b/>
          <w:color w:val="4A6B25"/>
          <w:sz w:val="20"/>
        </w:rPr>
        <w:t xml:space="preserve">3. </w:t>
      </w:r>
      <w:r>
        <w:rPr>
          <w:rFonts w:ascii="Calibri" w:hAnsi="Calibri"/>
          <w:b w:val="0"/>
          <w:color w:val="3A4A28"/>
          <w:sz w:val="20"/>
        </w:rPr>
        <w:t>AI-enabled productivity tools and content generation could further reduce tenants' space-per-employee needs and threaten studio demand, compounding the secular decline in office utilization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Office REITs face structural headwinds from AI-enabled remote work tools that reduce enterprise demand for physical office space, and HPP's concentration in tech-heavy West Coast markets amplifies this risk [1]. However, AI is also driving new demand: AI-related tenants represent nearly 60% of recent San Francisco leasing, making HPP a partial beneficiary of the AI buildout's physical footprint requirements [1]. The studio platform — one of the largest independent operations in Los Angeles — provides a meaningful hedge, as content production still requires physical facilities. AI-generated content poses a speculative long-term threat to studio demand, but near-term the net effect is roughly neutral with demand-side tailwinds partially offsetting productivity-driven space reduction.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66</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Hudson Pacific Properties Q4 2025 Earnings Release — Revenue $256.0M, FY2026 FFO guidance $0.96-$1.06, $330M asset sales, net debt reduced 22%, NASDAQ.com, February 2026</w:t>
      </w:r>
    </w:p>
    <w:p>
      <w:pPr>
        <w:spacing w:before="20" w:after="20"/>
        <w:ind w:left="170"/>
      </w:pPr>
      <w:r>
        <w:rPr>
          <w:rFonts w:ascii="Calibri" w:hAnsi="Calibri"/>
          <w:b/>
          <w:color w:val="4A6B25"/>
          <w:sz w:val="15"/>
        </w:rPr>
        <w:t xml:space="preserve">2. </w:t>
      </w:r>
      <w:r>
        <w:rPr>
          <w:rFonts w:ascii="Calibri" w:hAnsi="Calibri"/>
          <w:b w:val="0"/>
          <w:color w:val="3A4A28"/>
          <w:sz w:val="17"/>
        </w:rPr>
        <w:t>Yahoo Finance — HPP key statistics, financial ratios,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Hudson Pacific Properties Investor Relations — Executive Management and corporate culture,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Hudson Pacific Properties Better Blueprint ESG Platform — 100% carbon neutrality, GRESB leadership, NAIOP 2021 Developer of the Year,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KnowESG — HPP ESG Rating and risk assessment,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