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HRZN</w:t>
      </w:r>
      <w:r>
        <w:rPr>
          <w:rFonts w:ascii="Calibri" w:hAnsi="Calibri"/>
          <w:b/>
          <w:color w:val="1A2010"/>
          <w:sz w:val="40"/>
        </w:rPr>
        <w:t xml:space="preserve">  Horizon Technology Finance Corp.</w:t>
      </w:r>
    </w:p>
    <w:p>
      <w:pPr>
        <w:spacing w:after="120"/>
      </w:pPr>
      <w:r>
        <w:rPr>
          <w:rFonts w:ascii="Calibri" w:hAnsi="Calibri"/>
          <w:b/>
          <w:color w:val="6E8450"/>
          <w:sz w:val="18"/>
        </w:rPr>
        <w:t>DIVIDEND SLEEVE · 2026-09-29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Horizon Technology Finance is a business development company (BDC) specializing in secured debt and venture lending to venture capital-backed companies in technology, life sciences, healthcare IT, cleantech, and sustainability sectors. The company completed its merger with Monroe Capital Corporation in April 2026, expanding equity capital by $141M and creating a larger platform for venture lending. Q2 2026 portfolio size reached approximately $700M with a debt investment yield near 15%, though net investment income declined to $0.11/share from $0.28/share YoY due to $4.4M in non-recurring merger expenses.</w:t>
      </w:r>
    </w:p>
    <w:p>
      <w:r>
        <w:rPr>
          <w:rFonts w:ascii="Calibri" w:hAnsi="Calibri"/>
          <w:b/>
          <w:color w:val="6E8450"/>
          <w:sz w:val="18"/>
        </w:rPr>
        <w:t>https://www.horizontechfinance.com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Horizon Technology Finance has operated as a venture lending BDC since 2010, providing secured debt to VC-backed companies. The April 2026 merger with Monroe Capital Corporation represents the most significant strategic action in the company's history, expanding equity capital by $141M and creating a larger lending platform [1]. Q2 2026 portfolio grew to nearly $700M with $120M in new fundings and a committed backlog of $228M [1]. However, financial performance has been volatile — FY2025 total revenue was $7.2M (partially driven by unrealized gains/losses), and FY2023 saw a -$9.9M revenue figure reflecting credit deterioration [4]. AI Deployment (0/2): No evidence of AI-driven lending analytics, automated underwriting, or technology-differentiated investment processes beyond standard BDC due diligence. Market Share (1/2): Horizon holds a niche position in venture lending — a specialized segment of the broader BDC market. The 15% portfolio yield on debt investments is described as at or near the top of the BDC industry [1]. Pipeline (1/2): The $228M committed backlog provides near-term deployment visibility, up $48M from the prior quarter [1]. R&amp;D Intensity (1/1): The Monroe Capital merger demonstrates investment in building platform capabilities and scale.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Horizon's purpose centers on providing venture debt to technology and life science companies — a financial intermediation function rather than a mission-driven enterprise. While funding innovative companies has indirect social value, the BDC model is fundamentally a yield-generation vehicle for shareholders [1]. Community Impact (0/2): No community development programs, philanthropic initiatives, or distinctive stakeholder engagement were identified. The company acknowledges ESG risks in SEC filings but does not proactively communicate social impact beyond standard compliance disclosures [3]. Employee Retention (1/2): Leadership team has been stable, with the company maintaining specialized venture lending expertise through the Monroe Capital merger integration [2]. However, employee count is not disclosed and no Glassdoor or employee sentiment data was available for this small BDC. Insider Buying (1/2): No significant insider selling patterns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Dividend sleeve weights. D/E of 96.4% is above the 70% target but well below the 300% floor — elevated leverage is structural for BDCs that fund portfolios with debt (regulatory leverage limits of 2:1 debt-to-equity) [4]. ROE of 1.45% is severely below the 15% target, reflecting the FY2025 net loss of $2.7M and ongoing credit challenges in the venture lending portfolio [4]. Revenue growth YoY of 2.1% is below the 10% target but positive [4]. Forward P/E of 6.15 is well below the 20 target, reflecting the high yield and depressed earnings base [4]. Profit margin of 5.27% is far below the 20% target [4]. Dividend payout ratio of 289.2% is a critical red flag — the company is distributing nearly 3x its net investment income, eroding NAV (book value $6.23 vs stock price $4.54, a 27% discount) [4]. Consecutive years paid exceeds 15 (since 2010), but the dividend has been recently cut from ~$0.11/month to ~$0.06/month (~45% reduction), resulting in 0 consecutive years of growth [4]. Clears liquidity floor at ~$2.9M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Horizon Technology Finance exhibits primarily finite game characteristics. The BDC model is inherently yield-focused — the company exists to generate distributable income for shareholders through spread lending, with no broader societal mission driving strategic decisions. The 289% payout ratio and 45% dividend cut signal an organization prioritizing near-term distribution maintenance over long-term NAV preservation. The Monroe Capital merger provides scale benefits but was executed from a position of weakness (declining NII, NAV erosion) rather than strategic ambition. Trading at a 27% discount to book value reflects market skepticism about long-term franchise value.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Horizon's purpose of providing venture debt to technology and life science startups has indirect positive impact — enabling innovation and entrepreneurship that might otherwise lack financing access [1]. However, this purpose is a byproduct of the BDC yield-generation model rather than a driving cause. The company's communications focus on portfolio yield, NAV, and distribution coverage rather than the innovation it enables. No articulated mission beyond financial intermediation was identified.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Horizon maintains a specialized venture lending team with expertise in technology and life science credit analysis. The Monroe Capital merger integration introduces organizational change that could disrupt team cohesion and established investment processes [1]. No employee count is disclosed and no Glassdoor or employee sentiment data was available to independently assess culture. The small team size (typical for BDCs) should facilitate trust-building but also creates key-person risk.</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Horizon competes against significantly larger venture lending platforms (Hercules Capital, Western Technology Investment, Trinity Capital) and diversified BDCs. The Monroe merger represents a defensive consolidation move rather than a confident competitive response, and the company's declining NII and NAV erosion suggest competitive positioning challenges rather than strength-based rivalry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Monroe Capital merger demonstrates strategic flexibility — Horizon recognized its standalone scale was insufficient and executed a transformative combination to build a larger lending platform [1]. The resulting entity has expanded capital and a $228M committed backlog. However, the merger appears to have been necessitated by deteriorating portfolio quality and declining NII rather than being a proactive strategic evolution, and the BDC regulatory framework inherently limits business model innovation.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Monroe Capital merger was a significant strategic decision, but one driven more by necessity than vision. The 45% dividend cut from ~$0.11/month to ~$0.06/month, while financially prudent, signals weakening franchise economics rather than courageous capital allocation [1]. The 289% payout ratio indicates the company has been distributing return of capital (eroding NAV) to maintain appearances rather than making the tough decision to right-size the distribution earlier. Book value erosion from higher levels to $6.23 represents destruction of shareholder equity through over-distribution.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Horizon Technology Finance offers an exceptionally high 15.86% dividend yield with a forward P/E of 6.15x, providing significant current income for yield-focused investors [4]. The April 2026 Monroe Capital merger expanded equity capital by $141M and created a larger venture lending platform, with the Q2 2026 portfolio growing to nearly $700M on $120M in new fundings [1]. The portfolio yield on debt investments of approximately 15% is at or near the top of the BDC industry, and the $228M committed backlog provides near-term deployment visibility [1]. At 0.73x book value ($4.54 vs $6.23 NAV), the stock prices in significant NAV erosion risk, potentially offering value if portfolio quality stabilizes post-merger.</w:t>
      </w:r>
    </w:p>
    <w:p>
      <w:pPr>
        <w:spacing w:after="120"/>
      </w:pPr>
      <w:r>
        <w:rPr>
          <w:rFonts w:ascii="Calibri" w:hAnsi="Calibri"/>
          <w:b w:val="0"/>
          <w:color w:val="3A4A28"/>
          <w:sz w:val="20"/>
        </w:rPr>
        <w:t>The bear case is substantial and multifaceted. The 289% payout ratio is unsustainable — the company is distributing nearly 3x its net investment income, systematically eroding NAV and shareholder equity [4]. The dividend has been cut approximately 45% from ~$0.11/month to ~$0.06/month, and further cuts are probable if NII does not recover to distribution coverage levels. Q2 2026 NII declined to $0.11/share from $0.28/share YoY, partly due to $4.4M in merger expenses but also reflecting underlying portfolio stress [1]. FY2025 revenue of $7.2M and FY2023's negative $9.9M revenue demonstrate extreme earnings volatility characteristic of venture lending with unrealized gain/loss swings. ROE of 1.45% and profit margin of 5.27% are far below acceptable levels, and the 27% discount to NAV reflects the market's judgment that book value will continue declining. The venture lending niche — particularly in technology and life science startups — carries elevated credit risk during periods of VC funding stress, and portfolio losses could accelerate NAV destruction beyond what the merger capital injection can absorb.</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Monroe Capital merger integration achieving target cost synergies and deploying expanded capital into the $228M committed backlog at or near the 15% portfolio yield — successful integration could stabilize NII and eventually cover the reduced distribution [1]</w:t>
      </w:r>
    </w:p>
    <w:p>
      <w:pPr>
        <w:spacing w:before="40" w:after="40"/>
        <w:ind w:left="283"/>
      </w:pPr>
      <w:r>
        <w:rPr>
          <w:rFonts w:ascii="Calibri" w:hAnsi="Calibri"/>
          <w:b/>
          <w:color w:val="4A6B25"/>
          <w:sz w:val="20"/>
        </w:rPr>
        <w:t xml:space="preserve">2. </w:t>
      </w:r>
      <w:r>
        <w:rPr>
          <w:rFonts w:ascii="Calibri" w:hAnsi="Calibri"/>
          <w:b w:val="0"/>
          <w:color w:val="3A4A28"/>
          <w:sz w:val="20"/>
        </w:rPr>
        <w:t>Portfolio quality improvement as VC-backed borrowers benefit from improved fundraising markets and AI-driven revenue growth in technology sectors, reducing credit losses and writedowns [1]</w:t>
      </w:r>
    </w:p>
    <w:p>
      <w:pPr>
        <w:spacing w:before="40" w:after="40"/>
        <w:ind w:left="283"/>
      </w:pPr>
      <w:r>
        <w:rPr>
          <w:rFonts w:ascii="Calibri" w:hAnsi="Calibri"/>
          <w:b/>
          <w:color w:val="4A6B25"/>
          <w:sz w:val="20"/>
        </w:rPr>
        <w:t xml:space="preserve">3. </w:t>
      </w:r>
      <w:r>
        <w:rPr>
          <w:rFonts w:ascii="Calibri" w:hAnsi="Calibri"/>
          <w:b w:val="0"/>
          <w:color w:val="3A4A28"/>
          <w:sz w:val="20"/>
        </w:rPr>
        <w:t>Potential NAV recovery from the 27% discount to book if post-merger NII trends toward distribution coverage, attracting yield-seeking investors to the 15.86% current yield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Unsustainable 289% payout ratio and 45% dividend cut signal ongoing NAV erosion — further distribution reductions are likely if NII does not recover, which would remove the primary investment thesis for income-focused holders [4]</w:t>
      </w:r>
    </w:p>
    <w:p>
      <w:pPr>
        <w:spacing w:before="40" w:after="40"/>
        <w:ind w:left="283"/>
      </w:pPr>
      <w:r>
        <w:rPr>
          <w:rFonts w:ascii="Calibri" w:hAnsi="Calibri"/>
          <w:b/>
          <w:color w:val="4A6B25"/>
          <w:sz w:val="20"/>
        </w:rPr>
        <w:t xml:space="preserve">2. </w:t>
      </w:r>
      <w:r>
        <w:rPr>
          <w:rFonts w:ascii="Calibri" w:hAnsi="Calibri"/>
          <w:b w:val="0"/>
          <w:color w:val="3A4A28"/>
          <w:sz w:val="20"/>
        </w:rPr>
        <w:t>Venture lending credit risk — portfolio concentrated in VC-backed technology and life science companies that face elevated default risk during funding droughts, and the FY2023 negative revenue demonstrates how quickly credit deterioration can destroy earnings [1]</w:t>
      </w:r>
    </w:p>
    <w:p>
      <w:pPr>
        <w:spacing w:before="40" w:after="40"/>
        <w:ind w:left="283"/>
      </w:pPr>
      <w:r>
        <w:rPr>
          <w:rFonts w:ascii="Calibri" w:hAnsi="Calibri"/>
          <w:b/>
          <w:color w:val="4A6B25"/>
          <w:sz w:val="20"/>
        </w:rPr>
        <w:t xml:space="preserve">3. </w:t>
      </w:r>
      <w:r>
        <w:rPr>
          <w:rFonts w:ascii="Calibri" w:hAnsi="Calibri"/>
          <w:b w:val="0"/>
          <w:color w:val="3A4A28"/>
          <w:sz w:val="20"/>
        </w:rPr>
        <w:t>Monroe Capital merger integration risk — $4.4M in non-recurring expenses already impacted Q2 2026 NII, and combining two lending platforms introduces operational, cultural, and portfolio quality risks that could extend the period of sub-par returns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Horizon Technology Finance's venture lending model requires human judgment for credit analysis, deal structuring, and portfolio company monitoring — skills that AI cannot fully replicate in early-stage technology and life science lending where companies lack traditional financial metrics [1]. The secured debt structure with intellectual property and equipment liens provides structural protection independent of technology shifts. However, AI-driven lending platforms (Upstart, LendingClub) and automated credit analysis tools are increasingly capable of venture debt underwriting, potentially compressing Horizon's spreads or enabling new competitors to enter the space with lower cost structures. Larger BDCs with greater technology budgets could deploy AI-enhanced portfolio monitoring and risk management that smaller platforms like Horizon cannot match [2]. AI Opportunity (1/1): AI tools for credit analysis, covenant monitoring, early warning detection on portfolio companies, and automated due diligence could meaningfully improve Horizon's operating efficiency and credit outcomes. The company's focus on lending to technology companies also means AI-driven innovation among borrowers could improve portfolio quality.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Horizon Technology Finance Q1 and Q2 2026 Earnings Releases — Monroe Capital Merger (April 2026), Portfolio ~$700M, $120M New Fundings, $228M Committed Backlog, 15% Portfolio Yield, NII $0.11/Share Q2, $4.4M Merger Expenses, BusinessWire, IR Website,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Horizon Technology Finance Leadership Team — Venture Lending Expertise, Monroe Capital Integration, CBInsights, TheOrg, horizontechfinance.com,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Horizon Technology Finance ESG Disclosures — SEC 10-K FY2025, ESG Risk Acknowledgment, No Specific Controversies Identified,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Horizon Technology Finance Financial Statistics — Yahoo Finance: Stock Price $4.54, Forward P/E 6.15, ROE 1.45%, D/E 96.4%, Dividend Yield 15.86%, Payout Ratio 289.2%, Book Value $6.23, P/B 0.73x, Avg Volume 640,428,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