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HST</w:t>
      </w:r>
      <w:r>
        <w:rPr>
          <w:rFonts w:ascii="Calibri" w:hAnsi="Calibri"/>
          <w:b/>
          <w:color w:val="1A2010"/>
          <w:sz w:val="40"/>
        </w:rPr>
        <w:t xml:space="preserve">  Host Hotels &amp; Resorts, Inc.</w:t>
      </w:r>
    </w:p>
    <w:p>
      <w:pPr>
        <w:spacing w:after="120"/>
      </w:pPr>
      <w:r>
        <w:rPr>
          <w:rFonts w:ascii="Calibri" w:hAnsi="Calibri"/>
          <w:b/>
          <w:color w:val="6E8450"/>
          <w:sz w:val="18"/>
        </w:rPr>
        <w:t>DIVIDEND SLEEVE · 2026-10-09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NMS · United States</w:t>
      </w:r>
    </w:p>
    <w:p>
      <w:pPr>
        <w:spacing w:after="80"/>
      </w:pPr>
      <w:r>
        <w:rPr>
          <w:rFonts w:ascii="Calibri" w:hAnsi="Calibri"/>
          <w:b w:val="0"/>
          <w:color w:val="3A4A28"/>
          <w:sz w:val="20"/>
        </w:rPr>
        <w:t>Host Hotels &amp; Resorts is an S&amp;P 500 company and the largest lodging REIT, owning 75 properties totaling approximately 41,300 rooms across luxury and upper-upscale hotels in the United States and internationally. The company partners with premium brands including Marriott, Ritz-Carlton, Hyatt, Hilton, and Fairmont. FY2025 revenue was $6.11B (+7.6% YoY), and Q2 2026 revenue reached $1.64B (+3.4% YoY) with comparable RevPAR growth of 7.0% driven by transient demand and the FIFA World Cup. Established in 1927 and headquartered in Bethesda, Maryland.</w:t>
      </w:r>
    </w:p>
    <w:p>
      <w:r>
        <w:rPr>
          <w:rFonts w:ascii="Calibri" w:hAnsi="Calibri"/>
          <w:b/>
          <w:color w:val="6E8450"/>
          <w:sz w:val="18"/>
        </w:rPr>
        <w:t>162 Employees · https://www.hosthotels.com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Host has executed disciplined portfolio curation over the past five years, acquiring luxury and upper-upscale properties to expand from 70 to 75 hotels while divesting lower-tier assets, but these are standard REIT capital allocation moves rather than product or business model innovations [1][2]. AI Deployment (1/2): Host deployed connected sensors monitoring HVAC systems, central plants, and domestic hot water at three properties, achieving 2,300 metric tons of avoided carbon emissions and $700,000 in annual utility savings, with plans to scale to one-third of hotels [3]. The implementation demonstrates specific measurable AI-adjacent savings, though the $700K impact is negligible relative to $6B+ revenue. Market Share (2/2): Host Hotels is the largest lodging REIT by market cap ($15.4B) and one of the largest owners of luxury and upper-upscale hotels globally, with 41,300 rooms across 75 properties partnering with category-defining brands including Marriott, Ritz-Carlton, Hyatt, and Hilton [1]. Product Pipeline (0/2): As a REIT, the product pipeline consists of acquisition targets and capital renovation plans rather than new products; no transformative development or strategic initiatives beyond standard portfolio management were identified [2]. R&amp;D Intensity (0/1): REITs do not invest meaningfully in research and development; Host's competitive advantage derives from capital allocation discipline and operator partnerships, not technology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Host Hotels positions itself as 'the preeminent owner of luxury and upper-upscale hotels' — a market position statement rather than a purpose that articulates why the company exists beyond generating returns for shareholders. The statement is functional and interchangeable with any competing lodging REIT [1]. Community Impact (0/2): Host publishes corporate responsibility reports and engages with ESG-focused investors (15 investors representing 48% of the stockholder base), but no evidence of distinctive community investment programs or charitable initiatives with specific dollar amounts was identified [4]. Employee Retention (1/2): CEO James Risoleo has led the company since 2017, providing stable leadership continuity, and the lean 162-person workforce operating a $15B enterprise suggests strong retention of key talent [3]. However, no specific turnover data or employee tenure information is available to distinguish Host from industry norms.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Host's core financial metrics are solid: ROE of 15.6% meets the 15% target (score 1.0), D/E of 85.3% is moderate for a REIT at slightly above the 70% target (score 0.93), and forward P/E of 21.35 is near the 20 target (score 0.97) [5]. Profit margin of 16.5% falls short of the 20% target (score 0.82), reflecting the capital-intensive hotel ownership model [5]. Revenue growth of 3.6% YoY is below target (score 0.79), though RevPAR grew 7% in Q2 2026 with full-year guidance raised to 4.75-5.25% growth [1]. Estimated 5-year revenue CAGR of approximately 10% (score 1.0) benefits from COVID recovery base effects. Dividend metrics contribute significantly: payout ratio of 54.1% (score 0.77), 5 consecutive years paid since post-COVID resumption (score 0.5, 2x weight), 4 consecutive years of growth (score 0.4), and estimated 5-year dividend growth CAGR of approximately 10% reflecting recovery from COVID suspension (score 1.0, 2x weight) [5]. Daily dollar volume of $201M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Host Hotels demonstrates financial discipline and operational consistency across a 99-year history, but through Sinek's lens the company plays a finite game — optimizing RevPAR, EBITDAre, and capital allocation efficiency rather than advancing a durable cause that transcends quarterly hotel performance metrics. The company's competitive language centers on being 'the largest' and 'the preeminent owner,' which are finite-game positions focused on winning rather than advancing a purpose that outlasts any single metric.</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Host Hotels' purpose is being 'the preeminent owner of luxury and upper-upscale hotels' — a market position, not a Just Cause. While the company has operated for 99 years (suggesting durable strategic direction), it does not articulate a vision of a future state that inspires sacrifice or commitment beyond financial returns [1]. Strategic decisions are framed around RevPAR growth, EBITDAre margins, and capital recycling rather than a higher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Host's lean 162-person organization has benefited from CEO Risoleo's stable tenure since 2017, and the company's partnership model with premium operators (Marriott, Hyatt, Hilton) suggests a collaborative culture built on long-term relationships [1][3]. The appointment of dedicated technology leadership (Padmanabh Yardi) indicates investment in organizational capability. However, the asset-management REIT model means most of the 'team' experience happens within operator organizations, not within Host's small corporate staff.</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Host's competitive positioning focuses on being the largest lodging REIT and outperforming benchmarks like RevPAR indices, reflecting a finite competitive mindset oriented toward winning rankings rather than learning from rivals' strengths. Earnings commentary emphasizes 'outperformance' and 'market-leading' positioning rather than acknowledging what competitors do better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its 99-year history, Host has evolved from a diversified hospitality company to an exclusively luxury/upper-upscale REIT, demonstrating strategic refinement through disciplined capital recycling and portfolio curation [1]. The focus narrowing was deliberate and value-creating, but it represents incremental portfolio optimization rather than a transformative reinvention. The COVID period tested flexibility — Host reduced dividends, preserved liquidity, and emerged with a stronger portfolio.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demonstrated some courage during COVID by preserving capital, reducing dividends, and then aggressively acquiring properties during the recovery when valuations were attractive [1][2]. The decision to raise full-year RevPAR guidance to 4.75-5.25% growth reflects confidence in execution. However, the company's overall posture is conservatively optimizing an established portfolio rather than making the kind of costly long-term bets Sinek would recognize as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Host Hotels at $22.54 with a $15.4B market cap is the largest lodging REIT, owning 75 luxury and upper-upscale properties across 41,300 rooms with premium brand partnerships including Marriott, Ritz-Carlton, Hyatt, and Hilton [1]. Q2 2026 delivered comparable RevPAR growth of 7.0% (strongest in seven quarters), driven by transient revenue up 7% and food and beverage up 6%, with the FIFA World Cup adding 160bps to growth [1]. Adjusted EBITDAre rose 5.8% to $525M, adjusted FFO per share grew 8.6% to $0.63, and management raised full-year RevPAR guidance to 4.75-5.25% growth [1]. The 3.55% dividend yield with a 54% payout ratio provides income support, and the Sustainalytics Low ESG Risk Rating of 12.9 (top quintile) aligns with faith-based and ESG investor mandates [4].</w:t>
      </w:r>
    </w:p>
    <w:p>
      <w:pPr>
        <w:spacing w:after="120"/>
      </w:pPr>
      <w:r>
        <w:rPr>
          <w:rFonts w:ascii="Calibri" w:hAnsi="Calibri"/>
          <w:b w:val="0"/>
          <w:color w:val="3A4A28"/>
          <w:sz w:val="20"/>
        </w:rPr>
        <w:t>The bear case centers on cyclical vulnerability and modest growth. Host's revenue growth of 3.6% YoY (excluding COVID recovery base effects) reflects the mature state of the luxury hotel cycle, with limited upside beyond inflation-plus rate increases and portfolio acquisitions [1]. Forward P/E of 21.35 is above the 20x target, and the PEG ratio of 3.37 suggests the market prices in minimal earnings acceleration. As a hotel REIT, Host faces structural exposure to recessions — luxury hotel demand is highly cyclical, and any economic downturn would compress RevPAR, occupancy, and earnings simultaneously. The COVID precedent (dividend suspended, revenue halved) demonstrates the severity of cyclical risk. D/E of 85.3% adds leverage amplification to cyclical exposure [5]. Innovation and inspiration scores are inherently limited by the REIT structure — Host doesn't develop products or articulate a purpose beyond shareholder returns. The 162-employee lean structure means value creation depends entirely on operator execution (Marriott, Hyatt, Hilton), which Host influences but does not control.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Comparable RevPAR growth of 7.0% in Q2 2026 (strongest in seven quarters) with full-year guidance raised to 4.75-5.25%, driven by strengthening transient demand and group bookings including FIFA World Cup and major conferences [1]</w:t>
      </w:r>
    </w:p>
    <w:p>
      <w:pPr>
        <w:spacing w:before="40" w:after="40"/>
        <w:ind w:left="283"/>
      </w:pPr>
      <w:r>
        <w:rPr>
          <w:rFonts w:ascii="Calibri" w:hAnsi="Calibri"/>
          <w:b/>
          <w:color w:val="4A6B25"/>
          <w:sz w:val="20"/>
        </w:rPr>
        <w:t xml:space="preserve">2. </w:t>
      </w:r>
      <w:r>
        <w:rPr>
          <w:rFonts w:ascii="Calibri" w:hAnsi="Calibri"/>
          <w:b w:val="0"/>
          <w:color w:val="3A4A28"/>
          <w:sz w:val="20"/>
        </w:rPr>
        <w:t>3.55% dividend yield with growing distributions provides attractive income in a declining rate environment, with the payout ratio of 54% leaving room for further increases as earnings grow [5]</w:t>
      </w:r>
    </w:p>
    <w:p>
      <w:pPr>
        <w:spacing w:before="40" w:after="40"/>
        <w:ind w:left="283"/>
      </w:pPr>
      <w:r>
        <w:rPr>
          <w:rFonts w:ascii="Calibri" w:hAnsi="Calibri"/>
          <w:b/>
          <w:color w:val="4A6B25"/>
          <w:sz w:val="20"/>
        </w:rPr>
        <w:t xml:space="preserve">3. </w:t>
      </w:r>
      <w:r>
        <w:rPr>
          <w:rFonts w:ascii="Calibri" w:hAnsi="Calibri"/>
          <w:b w:val="0"/>
          <w:color w:val="3A4A28"/>
          <w:sz w:val="20"/>
        </w:rPr>
        <w:t>HVAC sensor deployment across one-third of properties could generate multi-million dollar annual utility savings at scale, improving operating margins across the luxury portfolio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Luxury hotel demand is highly cyclical — any recession would compress RevPAR, occupancy, and food &amp; beverage revenue simultaneously, as demonstrated by the 2020 COVID shock that halved revenue and forced dividend suspension [1]</w:t>
      </w:r>
    </w:p>
    <w:p>
      <w:pPr>
        <w:spacing w:before="40" w:after="40"/>
        <w:ind w:left="283"/>
      </w:pPr>
      <w:r>
        <w:rPr>
          <w:rFonts w:ascii="Calibri" w:hAnsi="Calibri"/>
          <w:b/>
          <w:color w:val="4A6B25"/>
          <w:sz w:val="20"/>
        </w:rPr>
        <w:t xml:space="preserve">2. </w:t>
      </w:r>
      <w:r>
        <w:rPr>
          <w:rFonts w:ascii="Calibri" w:hAnsi="Calibri"/>
          <w:b w:val="0"/>
          <w:color w:val="3A4A28"/>
          <w:sz w:val="20"/>
        </w:rPr>
        <w:t>Revenue growth of 3.6% YoY suggests the luxury hotel recovery is mature, with limited organic growth levers beyond inflation-plus rate increases and selective acquisitions in a competitive deal market [1]</w:t>
      </w:r>
    </w:p>
    <w:p>
      <w:pPr>
        <w:spacing w:before="40" w:after="40"/>
        <w:ind w:left="283"/>
      </w:pPr>
      <w:r>
        <w:rPr>
          <w:rFonts w:ascii="Calibri" w:hAnsi="Calibri"/>
          <w:b/>
          <w:color w:val="4A6B25"/>
          <w:sz w:val="20"/>
        </w:rPr>
        <w:t xml:space="preserve">3. </w:t>
      </w:r>
      <w:r>
        <w:rPr>
          <w:rFonts w:ascii="Calibri" w:hAnsi="Calibri"/>
          <w:b w:val="0"/>
          <w:color w:val="3A4A28"/>
          <w:sz w:val="20"/>
        </w:rPr>
        <w:t>Operator dependency risk — Host's 162-person team does not manage hotels directly, relying on Marriott, Hyatt, and Hilton for execution, meaning guest experience quality and cost management are largely outside Host's direct control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Host Hotels' core business — owning and operating luxury hotel properties — is structurally immune to AI substitution. Physical hotel rooms, conference centers, food and beverage operations, and resort experiences require human presence in real spaces that AI cannot replicate [1]. AI-powered tools for revenue management, dynamic pricing, and operational efficiency (such as Host's own HVAC sensor deployment) serve as enablers that improve margins rather than threats that displace the business model [3]. A Larridin AI maturity tracker describes Host as 'approaching AI initiatives cautiously but purposefully,' focusing on investment decision-making and revenue optimization rather than guest-facing applications [3]. The score is 8 rather than 9 because AI-enabled virtual meeting technology could marginally reduce business travel demand over time, though Q2 2026 transient revenue growth of 7% (strongest in seven quarters) suggests this risk has not materialized. AI Opportunity (0/1): Host does not generate AI-related revenue; the $700K in utility savings from sensor deployment is an operational efficiency, not a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Host Hotels &amp; Resorts Q2 2026 Earnings Call and 10-Q — $1.64B revenue (+3.4% YoY), RevPAR +7.0%, adjusted EBITDAre $525M (+5.8%), adjusted FFO $0.63/share (+8.6%), guidance raised — SEC filings, Benzinga, Yahoo Finance, October 2026</w:t>
      </w:r>
    </w:p>
    <w:p>
      <w:pPr>
        <w:spacing w:before="20" w:after="20"/>
        <w:ind w:left="170"/>
      </w:pPr>
      <w:r>
        <w:rPr>
          <w:rFonts w:ascii="Calibri" w:hAnsi="Calibri"/>
          <w:b/>
          <w:color w:val="4A6B25"/>
          <w:sz w:val="15"/>
        </w:rPr>
        <w:t xml:space="preserve">2. </w:t>
      </w:r>
      <w:r>
        <w:rPr>
          <w:rFonts w:ascii="Calibri" w:hAnsi="Calibri"/>
          <w:b w:val="0"/>
          <w:color w:val="3A4A28"/>
          <w:sz w:val="17"/>
        </w:rPr>
        <w:t>Host Hotels &amp; Resorts Q1 2026 Earnings Release (8-K) — Full-year guidance initial range, supplemental financial data — SEC filings, February 2026</w:t>
      </w:r>
    </w:p>
    <w:p>
      <w:pPr>
        <w:spacing w:before="20" w:after="20"/>
        <w:ind w:left="170"/>
      </w:pPr>
      <w:r>
        <w:rPr>
          <w:rFonts w:ascii="Calibri" w:hAnsi="Calibri"/>
          <w:b/>
          <w:color w:val="4A6B25"/>
          <w:sz w:val="15"/>
        </w:rPr>
        <w:t xml:space="preserve">3. </w:t>
      </w:r>
      <w:r>
        <w:rPr>
          <w:rFonts w:ascii="Calibri" w:hAnsi="Calibri"/>
          <w:b w:val="0"/>
          <w:color w:val="3A4A28"/>
          <w:sz w:val="17"/>
        </w:rPr>
        <w:t>Host Hotels AI and Leadership — Michael Chang on HVAC sensors ($700K savings, 2,300 MT CO2 avoided), Padmanabh Yardi technology appointment, CEO Risoleo tenure since 2017 — Nareit, CityBiz, Larridin, 2026</w:t>
      </w:r>
    </w:p>
    <w:p>
      <w:pPr>
        <w:spacing w:before="20" w:after="20"/>
        <w:ind w:left="170"/>
      </w:pPr>
      <w:r>
        <w:rPr>
          <w:rFonts w:ascii="Calibri" w:hAnsi="Calibri"/>
          <w:b/>
          <w:color w:val="4A6B25"/>
          <w:sz w:val="15"/>
        </w:rPr>
        <w:t xml:space="preserve">4. </w:t>
      </w:r>
      <w:r>
        <w:rPr>
          <w:rFonts w:ascii="Calibri" w:hAnsi="Calibri"/>
          <w:b w:val="0"/>
          <w:color w:val="3A4A28"/>
          <w:sz w:val="17"/>
        </w:rPr>
        <w:t>Host Hotels &amp; Resorts ESG and Governance — Sustainalytics Low Risk Rating 12.9, corporate responsibility reporting, investor engagement — SEC proxy, Sustainalytics, TipRanks,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HST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