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HUM</w:t>
      </w:r>
      <w:r>
        <w:rPr>
          <w:rFonts w:ascii="Calibri" w:hAnsi="Calibri"/>
          <w:b/>
          <w:color w:val="1A2010"/>
          <w:sz w:val="40"/>
        </w:rPr>
        <w:t xml:space="preserve">  Humana Inc.</w:t>
      </w:r>
    </w:p>
    <w:p>
      <w:pPr>
        <w:spacing w:after="120"/>
      </w:pPr>
      <w:r>
        <w:rPr>
          <w:rFonts w:ascii="Calibri" w:hAnsi="Calibri"/>
          <w:b/>
          <w:color w:val="6E8450"/>
          <w:sz w:val="18"/>
        </w:rPr>
        <w:t>GROWTH SLEEVE · 2026-09-13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Humana Inc. is a health and well-being company operating as one of the largest Medicare Advantage insurers in the United States. The company operates through Insurance (Medicare Advantage, Medicaid, commercial group, specialty benefits) and CenterWell (primary care clinics, home health, pharmacy) segments. Humana serves approximately 17 million medical members and is on track to become the largest MA carrier in the U.S. with 25%+ membership growth in 2026. Q2 2026 revenue reached $40.87B with benefit ratio tracking guidance. Founded in 1961, headquartered in Louisville, Kentucky.</w:t>
      </w:r>
    </w:p>
    <w:p>
      <w:r>
        <w:rPr>
          <w:rFonts w:ascii="Calibri" w:hAnsi="Calibri"/>
          <w:b/>
          <w:color w:val="6E8450"/>
          <w:sz w:val="18"/>
        </w:rPr>
        <w:t>67,060 Employees · https://www.humana.com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Humana's CenterWell segment represents a genuine business model transformation from pure insurance to integrated value-based healthcare delivery, with CenterWell Senior Primary Care adding patients at an accelerating pace and the segment demonstrating the viability of vertical integration in managed care [1][2]. Individual Medicare Advantage membership grew approximately 25% YoY in 2026, the most aggressive organic growth among large MA insurers, potentially making Humana the largest MA carrier in the U.S. ahead of UnitedHealthcare [1]. However, the core insurance model remains unchanged. AI Deployment (1/2): Humana hired Santosh Bardwaj as SVP of Enterprise AI in 2026 to lead AI strategy, building on prior digital investments under Aaron Martin (ex-Amazon) [3]. AI is deployed for claims processing, member engagement, and care management. However, the AI deployment in claims processing led to a class action lawsuit alleging AI-driven denial of post-acute care, creating legal liability rather than quantified savings [5]. Market Share (2/2): Humana is poised to become the #1 Medicare Advantage insurer in the U.S. with 25%+ membership growth, gaining share in the fastest-growing segment of U.S. healthcare [1]. Product Pipeline (1/2): CenterWell clinic expansion and the 3% MA margin target by 2028 provide strategic visibility, but no revolutionary new products beyond the integrated care model have been announced. R&amp;D Intensity (0/1): Health insurance companies do not report traditional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Humana's mission — 'committed to improving the health and well-being of our members, our associates, the communities we serve and our planet' — is clear but largely interchangeable with any health insurer's purpose statement and does not articulate a distinctive or transformative vision [3]. The connection between this purpose and strategic decisions (aggressive MA membership growth, AI denial-of-care controversy) is not always evident. Community Impact (1/2): Humana's Bold Goal program focuses on improving health outcomes in underserved communities by addressing social determinants of health, and CenterWell clinics provide primary care to seniors who may otherwise lack access [4]. The company has a low ESG risk rating of 18.9, ranking 116 out of 646 healthcare companies [4]. However, specific charitable dollar amounts are not prominently disclosed. Employee Retention (0/2): CEO Jim Rechtin publicly stated 'We are not where we want to be' regarding organizational culture and initiated a turnaround focused on culture change [3]. Glassdoor culture rating of 3.5/5 with mixed reviews citing pay cuts, reduced benefits, and overwork alongside positive feedback about leadership vision. The organization is in transition with a new leadership team. Insider Buying (1/2): CenterWell President Sanjay Shetty acquired 810 shares at $185.21/share ($150K) in February 2026, representing meaningful personal conviction at a depressed stock price [6]. However, this is a single executive purchase, not CEO or multiple executive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$40.87B in revenue with benefit ratio tracking guidance, and Medicare Advantage membership growth of approximately 25% continues to drive top-line acceleration [1]. FY2026 adjusted EPS guidance affirmed at $9.00, representing a year-over-year decline as the company absorbs Star Ratings headwinds, though NTM consensus estimates of ~$13 reflect expected FY2027 earnings recovery [7]. D/E of 76% is near the 70% target, reflecting manageable leverage for a healthcare insurer. ROE of 6.89% is well below the 15% target, reflecting thin insurance margins (profit margin of 0.88% on ~$146B in TTM revenue) [7]. Forward P/E of 30.87x (NTM basis) is elevated but improving as FY2027 recovery estimates build. PEG of 1.60 is favorable relative to the 1.0 target, reflecting expected earnings growth acceleration. Revenue growth of 23% YoY and 5yr CAGR of ~11% both exceed targets, driven by MA enrollment expansion. Liquidity floor easily cleared with ~1.5M shares daily at ~$404/share (~$610M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Humana under CEO Jim Rechtin is in turnaround mode, publicly acknowledging the company is 'not where we want to be' on culture, operations, and member experience. The 3% MA margin target by 2028 is a finite, measurable goal appropriate for a turnaround but not a Just Cause. The CenterWell expansion shows strategic flexibility, but culture challenges, legal controversies (AI denial of care, Medicare fraud settlement), and quarterly-earnings focus suggest a company playing to survive this cycle rather than playing to endure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'Improving the health and well-being of members, associates, communities, and the planet' is a purpose statement but not a Just Cause in Sinek's framework — it does not describe a future state that doesn't yet exist, and it is not differentiated from any other health insurer's stated purpose [3]. Strategic decisions like aggressive MA membership growth that outpaces the company's ability to manage medical costs, and AI-driven claims denial that led to lawsuits, do not visibly trace back to this purpose [5]. The cause exists on paper but does not appear to drive behavior.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Rechtin's public acknowledgment that Humana is 'not where we want to be' and his focus on culture change suggest meaningful trust deficits within the organization [3]. Glassdoor reviews cite significant pay cuts, reduced benefits, and overwork under recent leadership, with a culture rating of 3.5/5. The company is undergoing leadership transitions — new CEO, new SVP of Enterprise AI, leadership consolidation in Medicare Advantage — creating uncertainty. The AI denial-of-care lawsuit suggests algorithmic decision-making may have replaced clinical judgment in ways frontline employees could not challenge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Humana's competitive language centers on membership growth targets and market share in Medicare Advantage, framing competition with UnitedHealthcare as a race to become the largest MA carrier rather than an opportunity for mutual improvement [1]. The 25% membership growth target and aspiration to 'supplant UnitedHealthcare' is finite competition focused on size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CenterWell expansion represents meaningful strategic flexibility — Humana is building a vertically integrated healthcare delivery platform (primary care clinics, home health, pharmacy) alongside its insurance business, evolving from pure risk underwriting toward value-based care delivery [2]. This is a significant evolution but not yet transformative — insurance still generates the vast majority of revenue, and CenterWell's economic model has not been proven at scale.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Rechtin's willingness to publicly state 'we are not where we want to be' and pursue a multi-year turnaround plan toward 3% MA margins by 2028 shows courage in setting expectations for near-term pain in service of longer-term sustainability [3]. Continued investment in CenterWell clinic expansion despite margin compression demonstrates willingness to invest through difficulty. However, the $90M Medicare fraud settlement and AI denial-of-care lawsuit suggest past leadership prioritized financial performance over principled decision-making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Humana is executing the most aggressive Medicare Advantage growth strategy in the industry, with 25%+ membership growth in 2026 positioning it to become the largest MA carrier in the U.S., potentially surpassing UnitedHealthcare [1]. Q2 2026 revenue of $40.87B reflects this scale expansion, and the benefit ratio is tracking guidance, suggesting medical cost trends are stabilizing. The CenterWell vertical integration strategy (primary care, home health, pharmacy) provides a structural advantage in managing total cost of care and could enable the 3% MA margin target by 2028 [2]. Revenue has compounded at approximately 11% annually over five years, PEG of 1.60 reflects favorable growth-to-valuation, and the ~$50B market cap is supported by $1.3B+ in free cash flow. NTM consensus estimates of ~$13 in earnings reflect expected FY2027 recovery as Star Ratings headwinds roll off [7].</w:t>
      </w:r>
    </w:p>
    <w:p>
      <w:pPr>
        <w:spacing w:after="120"/>
      </w:pPr>
      <w:r>
        <w:rPr>
          <w:rFonts w:ascii="Calibri" w:hAnsi="Calibri"/>
          <w:b w:val="0"/>
          <w:color w:val="3A4A28"/>
          <w:sz w:val="20"/>
        </w:rPr>
        <w:t>The bear case remains substantial. FY2026 adjusted EPS guidance of $9.00 represents year-over-year earnings decline despite 23% revenue growth, demonstrating Humana is growing membership faster than its ability to profitably manage care costs [1][2]. Profit margin of 0.88% on ~$146B in TTM revenue provides virtually no cushion — a 100bps increase in the benefit ratio would erode nearly all net income. The 3% MA margin target by 2028 is aspirational and far from guaranteed given current margin compression, elevated medical cost trends, and regulatory pressure on Medicare Advantage reimbursement. Legal risks are escalating: a $90M False Claims Act settlement, a class action lawsuit over AI-driven denial of post-acute care, and DOJ marketing violations create cumulative financial and reputational exposure [5]. CEO Rechtin's public acknowledgment of culture challenges underscores the depth of the turnaround.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Medicare Advantage membership growth of 25%+ in 2026 positions Humana as the largest MA carrier in the U.S., creating scale-based cost efficiencies and enhanced negotiating leverage with providers [1]</w:t>
      </w:r>
    </w:p>
    <w:p>
      <w:pPr>
        <w:spacing w:before="40" w:after="40"/>
        <w:ind w:left="283"/>
      </w:pPr>
      <w:r>
        <w:rPr>
          <w:rFonts w:ascii="Calibri" w:hAnsi="Calibri"/>
          <w:b/>
          <w:color w:val="4A6B25"/>
          <w:sz w:val="20"/>
        </w:rPr>
        <w:t xml:space="preserve">2. </w:t>
      </w:r>
      <w:r>
        <w:rPr>
          <w:rFonts w:ascii="Calibri" w:hAnsi="Calibri"/>
          <w:b w:val="0"/>
          <w:color w:val="3A4A28"/>
          <w:sz w:val="20"/>
        </w:rPr>
        <w:t>CenterWell vertical integration improving total cost of care and enabling the 3% MA margin target by 2028 through owned primary care, home health, and pharmacy operations [2]</w:t>
      </w:r>
    </w:p>
    <w:p>
      <w:pPr>
        <w:spacing w:before="40" w:after="40"/>
        <w:ind w:left="283"/>
      </w:pPr>
      <w:r>
        <w:rPr>
          <w:rFonts w:ascii="Calibri" w:hAnsi="Calibri"/>
          <w:b/>
          <w:color w:val="4A6B25"/>
          <w:sz w:val="20"/>
        </w:rPr>
        <w:t xml:space="preserve">3. </w:t>
      </w:r>
      <w:r>
        <w:rPr>
          <w:rFonts w:ascii="Calibri" w:hAnsi="Calibri"/>
          <w:b w:val="0"/>
          <w:color w:val="3A4A28"/>
          <w:sz w:val="20"/>
        </w:rPr>
        <w:t>Star Ratings improvement in Bonus Year 2027 reversing the current headwind and unlocking quality bonus payments that enhance per-member economics and close the gap to the 3% margin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0.88% provides virtually no buffer against medical cost trend acceleration — a 100bps increase in the benefit ratio erodes nearly all net income on ~$146B in TTM revenue [7]</w:t>
      </w:r>
    </w:p>
    <w:p>
      <w:pPr>
        <w:spacing w:before="40" w:after="40"/>
        <w:ind w:left="283"/>
      </w:pPr>
      <w:r>
        <w:rPr>
          <w:rFonts w:ascii="Calibri" w:hAnsi="Calibri"/>
          <w:b/>
          <w:color w:val="4A6B25"/>
          <w:sz w:val="20"/>
        </w:rPr>
        <w:t xml:space="preserve">2. </w:t>
      </w:r>
      <w:r>
        <w:rPr>
          <w:rFonts w:ascii="Calibri" w:hAnsi="Calibri"/>
          <w:b w:val="0"/>
          <w:color w:val="3A4A28"/>
          <w:sz w:val="20"/>
        </w:rPr>
        <w:t>Escalating legal liability from $90M Medicare fraud settlement, AI denial-of-care class action, and DOJ marketing violations create cumulative financial and reputational risk that could restrict growth strategies [5]</w:t>
      </w:r>
    </w:p>
    <w:p>
      <w:pPr>
        <w:spacing w:before="40" w:after="40"/>
        <w:ind w:left="283"/>
      </w:pPr>
      <w:r>
        <w:rPr>
          <w:rFonts w:ascii="Calibri" w:hAnsi="Calibri"/>
          <w:b/>
          <w:color w:val="4A6B25"/>
          <w:sz w:val="20"/>
        </w:rPr>
        <w:t xml:space="preserve">3. </w:t>
      </w:r>
      <w:r>
        <w:rPr>
          <w:rFonts w:ascii="Calibri" w:hAnsi="Calibri"/>
          <w:b w:val="0"/>
          <w:color w:val="3A4A28"/>
          <w:sz w:val="20"/>
        </w:rPr>
        <w:t>FY2026 adjusted EPS guidance of $9.00 represents year-over-year earnings decline despite 23% revenue growth, demonstrating a structural mismatch between membership acquisition pace and profitable care management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Healthcare insurance is a heavily regulated industry where AI cannot substitute for the core underwriting, actuarial, provider network management, and regulatory compliance functions that define managed care [3]. Humana's CenterWell physical healthcare delivery (clinics, home health) adds a second layer of AI immunity — AI cannot perform a physical exam or provide in-person care. However, AI creates meaningful disruption risk in claims processing, prior authorization, and administrative functions that employ thousands. Competitors deploying AI more effectively could gain cost advantages in administrative efficiency and member engagement. The class action lawsuit alleging AI-driven denial of post-acute care demonstrates that AI deployment in healthcare carries unique regulatory and reputational risks [5]. AI Opportunity (0/1): Despite hiring Santosh Bardwaj as SVP of Enterprise AI and deploying AI for claims and engagement, Humana has not reported quantifiable AI-generated revenue or cost savings [3]. The AI-in-claims initiative has generated legal liability rather than measurable financial benefit.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Humana Q2 2026 Earnings — Revenue $40.87B, Benefit Ratio On Track, MA Membership +25% YoY, FY2026 Adjusted EPS Guidance $9.00, CNBC, July 2026</w:t>
      </w:r>
    </w:p>
    <w:p>
      <w:pPr>
        <w:spacing w:before="20" w:after="20"/>
        <w:ind w:left="170"/>
      </w:pPr>
      <w:r>
        <w:rPr>
          <w:rFonts w:ascii="Calibri" w:hAnsi="Calibri"/>
          <w:b/>
          <w:color w:val="4A6B25"/>
          <w:sz w:val="15"/>
        </w:rPr>
        <w:t xml:space="preserve">2. </w:t>
      </w:r>
      <w:r>
        <w:rPr>
          <w:rFonts w:ascii="Calibri" w:hAnsi="Calibri"/>
          <w:b w:val="0"/>
          <w:color w:val="3A4A28"/>
          <w:sz w:val="17"/>
        </w:rPr>
        <w:t>Humana CenterWell Expansion and 3% MA Margin Target by 2028 — Healthcare Dive, Yahoo Finance, STAT News, 2026</w:t>
      </w:r>
    </w:p>
    <w:p>
      <w:pPr>
        <w:spacing w:before="20" w:after="20"/>
        <w:ind w:left="170"/>
      </w:pPr>
      <w:r>
        <w:rPr>
          <w:rFonts w:ascii="Calibri" w:hAnsi="Calibri"/>
          <w:b/>
          <w:color w:val="4A6B25"/>
          <w:sz w:val="15"/>
        </w:rPr>
        <w:t xml:space="preserve">3. </w:t>
      </w:r>
      <w:r>
        <w:rPr>
          <w:rFonts w:ascii="Calibri" w:hAnsi="Calibri"/>
          <w:b w:val="0"/>
          <w:color w:val="3A4A28"/>
          <w:sz w:val="17"/>
        </w:rPr>
        <w:t>Humana CEO Jim Rechtin Turnaround Strategy, Culture Change, AI Leadership (SVP Santosh Bardwaj) — Fortune, DistilINFO Publications, 2025-2026</w:t>
      </w:r>
    </w:p>
    <w:p>
      <w:pPr>
        <w:spacing w:before="20" w:after="20"/>
        <w:ind w:left="170"/>
      </w:pPr>
      <w:r>
        <w:rPr>
          <w:rFonts w:ascii="Calibri" w:hAnsi="Calibri"/>
          <w:b/>
          <w:color w:val="4A6B25"/>
          <w:sz w:val="15"/>
        </w:rPr>
        <w:t xml:space="preserve">4. </w:t>
      </w:r>
      <w:r>
        <w:rPr>
          <w:rFonts w:ascii="Calibri" w:hAnsi="Calibri"/>
          <w:b w:val="0"/>
          <w:color w:val="3A4A28"/>
          <w:sz w:val="17"/>
        </w:rPr>
        <w:t>Humana ESG Impact Report, Bold Goal Program, ESG Risk Rating 18.9 — KnowESG, ESG Today, Humana Impact Report, 2025-2026</w:t>
      </w:r>
    </w:p>
    <w:p>
      <w:pPr>
        <w:spacing w:before="20" w:after="20"/>
        <w:ind w:left="170"/>
      </w:pPr>
      <w:r>
        <w:rPr>
          <w:rFonts w:ascii="Calibri" w:hAnsi="Calibri"/>
          <w:b/>
          <w:color w:val="4A6B25"/>
          <w:sz w:val="15"/>
        </w:rPr>
        <w:t xml:space="preserve">5. </w:t>
      </w:r>
      <w:r>
        <w:rPr>
          <w:rFonts w:ascii="Calibri" w:hAnsi="Calibri"/>
          <w:b w:val="0"/>
          <w:color w:val="3A4A28"/>
          <w:sz w:val="17"/>
        </w:rPr>
        <w:t>Humana Legal Risks — $90M False Claims Act Settlement, AI Denial-of-Care Class Action, DOJ Marketing Violations — McKnights, PRNewswire, 2024-2025</w:t>
      </w:r>
    </w:p>
    <w:p>
      <w:pPr>
        <w:spacing w:before="20" w:after="20"/>
        <w:ind w:left="170"/>
      </w:pPr>
      <w:r>
        <w:rPr>
          <w:rFonts w:ascii="Calibri" w:hAnsi="Calibri"/>
          <w:b/>
          <w:color w:val="4A6B25"/>
          <w:sz w:val="15"/>
        </w:rPr>
        <w:t xml:space="preserve">6. </w:t>
      </w:r>
      <w:r>
        <w:rPr>
          <w:rFonts w:ascii="Calibri" w:hAnsi="Calibri"/>
          <w:b w:val="0"/>
          <w:color w:val="3A4A28"/>
          <w:sz w:val="17"/>
        </w:rPr>
        <w:t>Humana Insider Transactions — CenterWell President Sanjay Shetty Acquired 810 Shares ($150K) Feb 2026 — GuruFocus, Kavout</w:t>
      </w:r>
    </w:p>
    <w:p>
      <w:pPr>
        <w:spacing w:before="20" w:after="20"/>
        <w:ind w:left="170"/>
      </w:pPr>
      <w:r>
        <w:rPr>
          <w:rFonts w:ascii="Calibri" w:hAnsi="Calibri"/>
          <w:b/>
          <w:color w:val="4A6B25"/>
          <w:sz w:val="15"/>
        </w:rPr>
        <w:t xml:space="preserve">7. </w:t>
      </w:r>
      <w:r>
        <w:rPr>
          <w:rFonts w:ascii="Calibri" w:hAnsi="Calibri"/>
          <w:b w:val="0"/>
          <w:color w:val="3A4A28"/>
          <w:sz w:val="17"/>
        </w:rPr>
        <w:t>GuruFocus, StockAnalysis, Yahoo Finance — HUM Key Statistics: Forward P/E 30.87x, ROE 6.89%, Profit Margin 0.88%, D/E 76%, PEG 1.60, Stock Price ~$404,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