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HUN</w:t>
      </w:r>
      <w:r>
        <w:rPr>
          <w:rFonts w:ascii="Calibri" w:hAnsi="Calibri"/>
          <w:b/>
          <w:color w:val="1A2010"/>
          <w:sz w:val="40"/>
        </w:rPr>
        <w:t xml:space="preserve">  Huntsman Corporation</w:t>
      </w:r>
    </w:p>
    <w:p>
      <w:pPr>
        <w:spacing w:after="120"/>
      </w:pPr>
      <w:r>
        <w:rPr>
          <w:rFonts w:ascii="Calibri" w:hAnsi="Calibri"/>
          <w:b/>
          <w:color w:val="6E8450"/>
          <w:sz w:val="18"/>
        </w:rPr>
        <w:t>DIVIDEND SLEEVE · 2026-10-15 · Inspire: 54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NYSE · United States</w:t>
      </w:r>
    </w:p>
    <w:p>
      <w:pPr>
        <w:spacing w:after="80"/>
      </w:pPr>
      <w:r>
        <w:rPr>
          <w:rFonts w:ascii="Calibri" w:hAnsi="Calibri"/>
          <w:b w:val="0"/>
          <w:color w:val="3A4A28"/>
          <w:sz w:val="20"/>
        </w:rPr>
        <w:t>Global specialty chemicals company operating through three segments: Polyurethanes (MDI-based products), Performance Products (amines, surfactants), and Advanced Materials (epoxy resins, adhesives). Led by family patriarch Peter R. Huntsman as Chairman, President, and CEO since 2000, the company generated Q2 2026 revenue of $1.663B (+14% YoY) with adjusted EBITDA of $120M but a net loss of $6M. H1 2026 revenue of $3.08B showed sequential improvement from Q1's $53M loss. UK regulators raised benzene emission concerns at the Teesside plant, and a Delaware jury verdict in the Qualcomm-Arm case has no direct impact.</w:t>
      </w:r>
    </w:p>
    <w:p>
      <w:r>
        <w:rPr>
          <w:rFonts w:ascii="Calibri" w:hAnsi="Calibri"/>
          <w:b/>
          <w:color w:val="6E8450"/>
          <w:sz w:val="18"/>
        </w:rPr>
        <w:t>6,000 Employees · https://www.huntsman.com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Huntsman is a mature specialty chemicals company with no transformative product launches or business model pivots in the last five years [1]. The company has incrementally refined its polyurethane and advanced materials portfolios through product extensions and reformulations, but the business fundamentally looks the same as five years ago with the same three segments and a revenue trajectory that peaked in 2021-2022 [1][2]. AI Deployment (1/2): Huntsman has deployed the Citrine Informatics AI platform in its Polyurethanes R&amp;D division to accelerate materials development cycles and reduce formulation costs — a concrete internal AI deployment with measurable workflow integration, though specific dollar savings have not been publicly quantified [3]. Market Share (1/2): Huntsman is a meaningful player in MDI-based polyurethanes and epoxy resins but is not a category leader, competing against larger chemical conglomerates like BASF, Dow, and Covestro with significantly greater scale and broader product portfolios [1]. Product Pipeline (0/2): No specific next-generation products with named launch dates and revenue visibility were identified; R&amp;D activity focuses on incremental formulation improvements for existing polyurethane and advanced materials applications [3]. R&amp;D Intensity (0/1): R&amp;D spending as a percentage of revenue is at or below the specialty chemicals industry average, consistent with a mature company focused on process optimization over breakthrough innovation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Huntsman's stated values focus on 'innovation, safety, sustainability, and ethical conduct' — generic corporate language interchangeable with any chemicals company [3]. The company does not articulate a deeper purpose beyond manufacturing chemicals and delivering value to stakeholders, and the mission statement does not differentiate Huntsman from BASF, Dow, or any other chemical manufacturer. Community Impact (1/2): The Huntsman Cancer Institute at the University of Utah, funded primarily by the Huntsman family with $500M+ in donations, represents significant philanthropic legacy, and CEO Peter Huntsman chairs both the corporation and the Huntsman Cancer Foundation [3]. While the corporate entity's direct charitable spending is modest, the family-corporate connection creates a genuine community investment that exceeds standard corporate matching programs. Employee Retention (0/2): No employee retention or tenure data is publicly available. ISS flagged Huntsman for failure to report on significant human capital management concerns, and employee reviews cite regular staff reductions to focus on the bottom line, suggesting a cost-cutting culture rather than retention-focused environment [4][5]. Insider Buying (0/2): Peter Huntsman holds significant family ownership but no evidence of meaningful net insider buying by executives in the last 12 months was identified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Q2 2026 revenue of $1.663B grew 14.1% YoY (score 1.0), a significant improvement from prior-year declines, driven by higher selling prices and volumes across segments [1]. D/E of 85.4% is near the 70% target (score 0.93), reflecting manageable leverage for a capital-intensive chemical company. Forward P/E of 34.9x scores 0.63, indicating the market expects an eventual return to profitability but at a premium valuation. However, current profitability remains negative: ROE of -3.8% (score 0.0) and profit margin of -3.1% (score 0.0) reflect GAAP losses in both H1 2026 quarters. Estimated 5-year revenue CAGR of -3% (score 0.13) reflects decline from the 2021 commodity supercycle peak. Dividend history provides partial offset: 19 consecutive years paid (score 1.0, 2x weight) and 5yr dividend growth CAGR of ~9.0% (score 1.0, 2x weight) reward the long dividend track record, though current payout ratio is unsustainable at negative GAAP earnings (score 0.0). Daily dollar volume of ~$23.6M clears the liquidity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Huntsman Corporation operates primarily as a finite game player focused on cyclical chemical manufacturing and quarterly earnings management. The Huntsman family legacy provides continuity — Peter Huntsman's 26-year CEO tenure is remarkable — but the company's purpose is making and selling chemicals, not advancing a world-changing cause. Recent workforce reductions and cost-cutting reflect quarterly optimization rather than long-term capability building. The Huntsman Cancer Institute philanthropy represents the family's values but hasn't translated into a corporate Just Cause that shapes business strategy.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Huntsman has stated values ('innovation, safety, sustainability, ethical conduct') and the Huntsman family's philanthropic legacy — the Huntsman Cancer Institute represents $500M+ in family donations — suggests values beyond pure profit maximization [3]. However, the corporate mission is generic and interchangeable with any chemicals company, and the cancer philanthropy is driven by the family rather than the corporation's strategic identity. Leadership references market conditions and financial performance, not purpose, in strategic communications. The company exists to make chemicals, with philanthropy as a family side commitment rather than a corporate Just Cause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ISS flagged Huntsman for failure to report on significant human capital management concerns, indicating a lack of transparency around employee engagement and organizational health [5]. Employee reviews cite regular staff reductions to focus on the bottom line and an old-fashioned management mindset with resistance to change from higher up [3]. The lack of human capital disclosure itself suggests the company does not prioritize or measure organizational trust. Despite Peter Huntsman's 26-year tenure providing leadership stability at the top, the pattern of workforce reductions creates the insecurity Sinek identifies as incompatible with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identified in Huntsman's public communications. The company competes against BASF, Dow, and Covestro in specialty chemicals, but management commentary focuses on pricing actions, volume recovery, and cost management rather than learning from competitors' strengths [1][2]. The competitive language is transactional — about market share positioning and margin defense — not about self-improvement inspired by worthy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Huntsman has evolved its business portfolio over time through divestitures and restructuring — exiting Textile Effects (sold in 2013) and Performance Chemicals to focus on higher-margin specialty applications in polyurethanes and advanced materials [1]. These moves show willingness to abandon legacy businesses, and the Q2 2026 revenue recovery (+14% YoY) suggests the restructured portfolio is better positioned for cyclical recovery. However, the changes were incremental portfolio pruning driven by financial underperformance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Peter Huntsman demonstrated courage by maintaining the company's dividend through multiple quarters of GAAP losses in 2025-2026, signaling commitment to income investors even at the cost of balance sheet flexibility [1]. The company fought off Starboard Value's 2022 proxy challenge and maintained its strategic direction despite activist pressure, and the continued investment in the Citrine AI R&amp;D platform during a downturn shows some willingness to build future capability. However, the stock's 73% decline from highs and persistent unprofitability raise questions about whether strategic decisions have served shareholders.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Huntsman at $8.24 with a $1.45B market cap offers a deep value proposition at 0.22x TTM revenue, with a 19-year dividend history yielding ~5.2% and an Inspire Impact Score of 54 (ALIGNED) across 14 positive ESG attributions [4]. Q2 2026 results showed meaningful cyclical improvement — revenue of $1.663B grew 14% YoY with adjusted EBITDA of $120M and net loss narrowing to just $6M from Q1's $53M loss — suggesting the worst of the feedstock cost headwinds from benzene and European natural gas volatility may be passing [1]. The portfolio restructuring toward higher-margin Advanced Materials and Polyurethanes segments positions Huntsman to benefit from eventual chemical cycle recovery, and the internal deployment of the Citrine Informatics AI platform for R&amp;D acceleration demonstrates forward-looking capability building [3].</w:t>
      </w:r>
    </w:p>
    <w:p>
      <w:pPr>
        <w:spacing w:after="120"/>
      </w:pPr>
      <w:r>
        <w:rPr>
          <w:rFonts w:ascii="Calibri" w:hAnsi="Calibri"/>
          <w:b w:val="0"/>
          <w:color w:val="3A4A28"/>
          <w:sz w:val="20"/>
        </w:rPr>
        <w:t>The bear case centers on persistent unprofitability and structural decline. Huntsman has posted net losses in four of the last six quarters, with ROE of -3.8% and profit margin of -3.1% reflecting a company unable to generate positive returns in the current environment [4]. The 5-year revenue CAGR of approximately -3% reveals a secular downtrend from the 2021 commodity supercycle peak. The stock's 73% decline from 52-week highs to $8.24 reflects deep capital market skepticism about the cyclical recovery thesis. The dividend of ~$0.43/year consumes more than forward earnings and may require a cut if GAAP losses persist. UK regulators raised benzene emission concerns at the Teesside plant, potentially exposing the company to fines and capital expenditure for remediation [5]. ESG governance has been criticized by ISS for lagging peers on environmental disclosure and human capital management, creating institutional investor exclusion risk. Average daily volume dropped to 2.87M shares (from 5.75M in August), suggesting declining investor interest at these levels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Sequential improvement from Q1 to Q2 2026 — revenue up $243M and net loss narrowing from $53M to $6M — suggests feedstock cost normalization could restore profitability in H2 2026 as benzene and European natural gas prices stabilize [1]</w:t>
      </w:r>
    </w:p>
    <w:p>
      <w:pPr>
        <w:spacing w:before="40" w:after="40"/>
        <w:ind w:left="283"/>
      </w:pPr>
      <w:r>
        <w:rPr>
          <w:rFonts w:ascii="Calibri" w:hAnsi="Calibri"/>
          <w:b/>
          <w:color w:val="4A6B25"/>
          <w:sz w:val="20"/>
        </w:rPr>
        <w:t xml:space="preserve">2. </w:t>
      </w:r>
      <w:r>
        <w:rPr>
          <w:rFonts w:ascii="Calibri" w:hAnsi="Calibri"/>
          <w:b w:val="0"/>
          <w:color w:val="3A4A28"/>
          <w:sz w:val="20"/>
        </w:rPr>
        <w:t>Deep value at 0.22x revenue and 34.9x forward earnings — if the company returns to normalized profitability with $1-2 EPS, the stock at $8.24 would represent significant re-rating potential from depressed levels [4]</w:t>
      </w:r>
    </w:p>
    <w:p>
      <w:pPr>
        <w:spacing w:before="40" w:after="40"/>
        <w:ind w:left="283"/>
      </w:pPr>
      <w:r>
        <w:rPr>
          <w:rFonts w:ascii="Calibri" w:hAnsi="Calibri"/>
          <w:b/>
          <w:color w:val="4A6B25"/>
          <w:sz w:val="20"/>
        </w:rPr>
        <w:t xml:space="preserve">3. </w:t>
      </w:r>
      <w:r>
        <w:rPr>
          <w:rFonts w:ascii="Calibri" w:hAnsi="Calibri"/>
          <w:b w:val="0"/>
          <w:color w:val="3A4A28"/>
          <w:sz w:val="20"/>
        </w:rPr>
        <w:t>AI-driven R&amp;D acceleration through the Citrine Informatics platform could shorten product development cycles in Polyurethanes and Advanced Materials, improving competitive positioning against larger peers with higher R&amp;D budgets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unprofitability — net losses in four of the last six quarters with -3.8% ROE and -3.1% profit margins, with the ~$0.43 annual dividend potentially requiring a cut if GAAP losses continue into H2 2026 [4]</w:t>
      </w:r>
    </w:p>
    <w:p>
      <w:pPr>
        <w:spacing w:before="40" w:after="40"/>
        <w:ind w:left="283"/>
      </w:pPr>
      <w:r>
        <w:rPr>
          <w:rFonts w:ascii="Calibri" w:hAnsi="Calibri"/>
          <w:b/>
          <w:color w:val="4A6B25"/>
          <w:sz w:val="20"/>
        </w:rPr>
        <w:t xml:space="preserve">2. </w:t>
      </w:r>
      <w:r>
        <w:rPr>
          <w:rFonts w:ascii="Calibri" w:hAnsi="Calibri"/>
          <w:b w:val="0"/>
          <w:color w:val="3A4A28"/>
          <w:sz w:val="20"/>
        </w:rPr>
        <w:t>Raw material cost exposure to geopolitical volatility — any escalation in Middle East conflict could spike benzene and European natural gas costs, repeating the margin compression that drove Q1 2026's $53M net loss [1][2]</w:t>
      </w:r>
    </w:p>
    <w:p>
      <w:pPr>
        <w:spacing w:before="40" w:after="40"/>
        <w:ind w:left="283"/>
      </w:pPr>
      <w:r>
        <w:rPr>
          <w:rFonts w:ascii="Calibri" w:hAnsi="Calibri"/>
          <w:b/>
          <w:color w:val="4A6B25"/>
          <w:sz w:val="20"/>
        </w:rPr>
        <w:t xml:space="preserve">3. </w:t>
      </w:r>
      <w:r>
        <w:rPr>
          <w:rFonts w:ascii="Calibri" w:hAnsi="Calibri"/>
          <w:b w:val="0"/>
          <w:color w:val="3A4A28"/>
          <w:sz w:val="20"/>
        </w:rPr>
        <w:t>UK Teesside benzene emission concerns raised by regulators create potential fine and remediation capital expenditure risk, adding to ESG governance gaps flagged by ISS including worst ESG rating among primary peers and inadequate human capital management reporting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Huntsman's core business — manufacturing specialty chemicals in physical plants using proprietary chemical processes and formulations — has meaningful defensive moats against AI disruption [1]. AI cannot manufacture MDI, polyurethanes, epoxy resins, or amines; these require physical infrastructure, chemical engineering expertise, and regulatory compliance that AI cannot replicate. The products serve physical-world applications in construction, automotive, and aerospace requiring real materials. However, AI-driven materials science platforms (like the Citrine Informatics tool Huntsman itself uses) could accelerate competitor R&amp;D cycles and erode formulation advantages over time, and AI-driven process optimization could compress margins across the commodity chemical value chain [3]. AI Opportunity (0/1): Huntsman uses AI internally for R&amp;D acceleration via the Citrine Informatics platform but does not generate any customer-facing AI revenue; AI is a process improvement tool, not a revenue stream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Huntsman Q2 2026 Earnings Release — Revenue $1.663B (+14% YoY), Net Loss $6M, Adjusted EBITDA $120M, Higher Volumes Across Segments — huntsman.com, July 2026</w:t>
      </w:r>
    </w:p>
    <w:p>
      <w:pPr>
        <w:spacing w:before="20" w:after="20"/>
        <w:ind w:left="170"/>
      </w:pPr>
      <w:r>
        <w:rPr>
          <w:rFonts w:ascii="Calibri" w:hAnsi="Calibri"/>
          <w:b/>
          <w:color w:val="4A6B25"/>
          <w:sz w:val="15"/>
        </w:rPr>
        <w:t xml:space="preserve">2. </w:t>
      </w:r>
      <w:r>
        <w:rPr>
          <w:rFonts w:ascii="Calibri" w:hAnsi="Calibri"/>
          <w:b w:val="0"/>
          <w:color w:val="3A4A28"/>
          <w:sz w:val="17"/>
        </w:rPr>
        <w:t>Huntsman Q1 2026 Earnings Release — Revenue $1.420B, Net Loss $53M, Adjusted EBITDA $73M, Feedstock Cost Headwinds — huntsman.com, April 2026</w:t>
      </w:r>
    </w:p>
    <w:p>
      <w:pPr>
        <w:spacing w:before="20" w:after="20"/>
        <w:ind w:left="170"/>
      </w:pPr>
      <w:r>
        <w:rPr>
          <w:rFonts w:ascii="Calibri" w:hAnsi="Calibri"/>
          <w:b/>
          <w:color w:val="4A6B25"/>
          <w:sz w:val="15"/>
        </w:rPr>
        <w:t xml:space="preserve">3. </w:t>
      </w:r>
      <w:r>
        <w:rPr>
          <w:rFonts w:ascii="Calibri" w:hAnsi="Calibri"/>
          <w:b w:val="0"/>
          <w:color w:val="3A4A28"/>
          <w:sz w:val="17"/>
        </w:rPr>
        <w:t>Huntsman Corporate Strategy — Citrine Informatics AI Platform for R&amp;D, Huntsman Cancer Institute Family Legacy, Employee Culture Reviews — Comparably, Glassdoor,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HUN Key Statistics: Stock Price $8.24, Market Cap $1.45B, Forward PE 34.86, D/E 85.39%, ROE -3.84%, Profit Margin -3.05%, Avg Volume 2.87M —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Huntsman ESG and Environmental Developments — ISS Governance Concerns, Teesside Benzene Emission Concerns, Starboard 2022 Proxy Fight, Sustainalytics ESG Risk Rating 29 — Simply Wall St, ISS, Yahoo Finance,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