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HWM</w:t>
      </w:r>
      <w:r>
        <w:rPr>
          <w:rFonts w:ascii="Calibri" w:hAnsi="Calibri"/>
          <w:b/>
          <w:color w:val="1A2010"/>
          <w:sz w:val="40"/>
        </w:rPr>
        <w:t xml:space="preserve">  Howmet Aerospace Inc.</w:t>
      </w:r>
    </w:p>
    <w:p>
      <w:pPr>
        <w:spacing w:after="120"/>
      </w:pPr>
      <w:r>
        <w:rPr>
          <w:rFonts w:ascii="Calibri" w:hAnsi="Calibri"/>
          <w:b/>
          <w:color w:val="6E8450"/>
          <w:sz w:val="18"/>
        </w:rPr>
        <w:t>GROWTH SLEEVE · 2026-09-06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Howmet Aerospace Inc. is a leading global provider of advanced engineered solutions for the aerospace and transportation industries, operating through four segments: Engine Products (turbine blades, vanes, structural castings), Fastening Systems (aerospace fasteners), Engineered Structures (titanium and aluminum structures), and Forged Wheels (commercial vehicle wheels). The company provides content on virtually every major commercial jet engine program and supplies critical components to Boeing, Airbus, and engine OEMs including GE Aerospace, Pratt &amp; Whitney, and Rolls-Royce. Q2 2026 revenue reached $2.55B (+24% YoY) with adjusted EBITDA margin of 32.1%, and FY2026 guidance was raised to $10.05B revenue, $5.27 adjusted EPS, and $1.9B free cash flow.</w:t>
      </w:r>
    </w:p>
    <w:p>
      <w:r>
        <w:rPr>
          <w:rFonts w:ascii="Calibri" w:hAnsi="Calibri"/>
          <w:b/>
          <w:color w:val="6E8450"/>
          <w:sz w:val="18"/>
        </w:rPr>
        <w:t>31,000 Employees · https://www.howmet.com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Howmet has delivered exceptional financial performance since separating from Arconic in 2020 — FY2025 revenue grew 11% to $8.3B with adjusted EPS up 40% to $3.77 and record free cash flow of $1.43B at 93% conversion [1]. Q2 2026 accelerated to 24% revenue growth and 46% adjusted EPS growth, prompting management to raise FY2026 guidance to $10.05B revenue and $5.27 EPS [2]. EBITDA margins expanded 340bps to 32.1%, demonstrating operational excellence at scale. AI Deployment (0/2): No evidence of AI deployment in manufacturing operations or customer offerings. Howmet's competitive advantage is rooted in materials science, metallurgical processes, and precision manufacturing rather than digital technology [3]. Market Share (2/2): Howmet holds sole-source or critical dual-source positions on virtually every major commercial jet engine program — their turbine blades, vanes, and structural castings are qualified components with multi-year switching costs [1]. The company's fastening systems and engineered structures serve as essential content on Boeing and Airbus platforms. Pipeline (2/2): Commercial and defense aerospace OEM backlogs stretch into the next decade, providing unprecedented revenue visibility for Howmet as a Tier 1 supplier [1][2]. Capital expenditure exceeding $500M in 2026 with further increases planned for 2027 demonstrates confidence in sustained demand growth. Gas turbine market growth of 38% YoY in Q2 2026 provides meaningful diversification beyond aerospace [2]. R&amp;D Intensity (1/1): Howmet's metallurgical and manufacturing R&amp;D enables advanced single-crystal turbine blades, titanium structural components, and proprietary alloys required for next-generation engine programs operating at higher temperatures and pressures.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Howmet's products are literally essential to flight — every commercial jet engine relies on their precision-engineered turbine blades, and their structural components and fasteners are critical to aircraft safety and performance [1]. This is meaningful industrial purpose, though expressed in standard corporate language rather than aspirational vision. The connection between Howmet's work and enabling global air travel, defense capability, and industrial gas turbine power generation provides genuine societal value. Community Impact (1/2): Howmet publishes comprehensive ESG reports with specific environmental targets for emissions reduction, waste elimination, and water optimization [4]. The Board's Sustainability Committee provides governance oversight. However, no distinctive philanthropic programs or community initiatives were identified beyond standard corporate responsibility practices. Employee Retention (1/2): CEO John C. Plant has served as Executive Chairman and CEO since 2021, bringing prior experience as CEO of TRW Automotive [3]. His lean management structure (four direct reports, no COO) drives operational focus, though the culture is described as 'metrics-driven' with 'strategy-to-factory linkage' that is 'CEO-led' but can feel 'top-down and unforgiving' at the frontline [3]. Insider Buying (0/2): No insider buying data was identified in available public disclosures.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exceptionally strong fundamentals. Debt-to-equity of 88% is conservative and well below the 300% floor [5]. ROE of 33.82% significantly exceeds the 15% target, reflecting efficient capital deployment and pricing power in aerospace components [5]. Revenue growth YoY of approximately 17% TTM (accelerating from 11% FY2025 to 24% Q2 2026) exceeds the 10% target [1][2]. Five-year revenue CAGR of approximately 11% exceeds the 10% target as the company has grown consistently since the 2020 Arconic separation. Forward P/E of 51.07 is elevated, reflecting the market's premium for aerospace growth, but scores poorly against the 20 target [5]. Net profit margin of 20.22% meets the 20% target [5]. Forward PEG of approximately 1.28 (51.07 forward PE / 40% EPS growth) is near the 1.0 target for a growth stock. Daily dollar volume of approximately $732M ($244.95 × 2.99M shares) easily clears the liquidity floor. The only meaningful drag on the score is the premium valuation (forward P/E 51), which the market justifies with Howmet's sole-source positions, record backlogs, and accelerating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Howmet Aerospace demonstrates solid but mixed infinite game characteristics. The company's business model is inherently long-term — aerospace component programs span decades, OEM relationships are measured in generations, and current backlogs extend into the next decade. CEO John Plant's operational excellence has delivered transformative results since the 2020 Arconic separation, with EBITDA margins expanding from ~20% to 32%. However, Plant's management style is described as intensely metrics-driven and top-down, optimizing the current system rather than building the kind of purpose-driven, psychologically safe organization that characterizes truly infinite-minded companies. The company plays to win in its current game rather than to keep playing in new ones.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Howmet's products serve a genuine purpose — enabling flight, powering defense capability, and advancing transportation through precision-engineered components that operate at the extreme limits of materials science [1]. The company's turbine blades, structural castings, and fastening systems are essential to modern aviation safety and performance. This connects to a meaningful societal contribution (global mobility, national security) but is expressed as industrial competence rather than an aspirational cause. The absence of a publicly articulated vision beyond financial performance and operational excellence limits the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Plant's lean management structure — four direct reports, no COO — creates clear accountability and strategic alignment [3]. The company's culture is described as having exceptionally tight 'strategy-to-factory linkage' with targets cascading directly into plant throughput and margin goals, which drives strong financial results [3]. However, the culture is also characterized as 'top-down and unforgiving,' with management focus on metrics that 'funds investment but makes management feel' controlling [3]. A workforce of approximately 31,000 across global manufacturing facilities under this style may experience efficiency without psychological safety, which limits the trust dimension.</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Howmet competes with Precision Castparts (Berkshire Hathaway), Safran, MTU Aero Engines, and other Tier 1 aerospace suppliers. The competitive dynamics are constructive — these companies often serve as alternate sources on the same engine programs, creating a natural worthy-rivals dynamic where each company's capabilities push the others to improve. However, no specific evidence was found of Howmet's leadership publicly acknowledging competitors' strengths or articulating how rivals motivate Howmet's own development.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separation from Arconic in 2020 was a transformative strategic decision — divesting non-aerospace businesses to focus exclusively on engineered aerospace components [1]. Under Plant's leadership, Howmet has expanded into gas turbines (+38% Q2 2026 growth), diversifying beyond traditional aerospace end markets [2]. Capital expenditure exceeding $500M in 2026 with planned increases in 2027 shows willingness to invest in long-term capacity expansion rather than optimizing short-term returns. The company's pivot from a diversified industrial conglomerate to a focused aerospace specialist demonstrates genuine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John Plant has demonstrated exceptional courage in transforming Howmet since the 2020 separation — driving EBITDA margins from approximately 20% to 32.1%, generating record free cash flow of $1.43B, and raising FY2026 guidance multiple times [1][2]. The decision to invest &gt;$500M in capital expenditure while simultaneously returning capital to shareholders through buybacks reflects confidence in the multi-decade growth trajectory. Plant's willingness to maintain an intensely focused, lean organizational structure — four direct reports, no COO — represents a bold leadership choice that has delivered exceptional results even if it creates cultural tension.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Howmet Aerospace is a premier aerospace components supplier delivering exceptional financial performance — Q2 2026 revenue of $2.55B (+24% YoY), adjusted EBITDA margin of 32.1% (+340bps), and adjusted EPS of $1.33 (+46% YoY), with FY2026 guidance raised to $10.05B revenue and $5.27 EPS [2]. The company holds sole-source or critical dual-source positions on virtually every major commercial jet engine program, creating an extraordinarily defensible competitive moat backed by decades of materials science expertise and multi-year OEM qualification requirements [1]. Record OEM backlogs stretching into the next decade provide unprecedented revenue visibility.</w:t>
      </w:r>
    </w:p>
    <w:p>
      <w:pPr>
        <w:spacing w:after="120"/>
      </w:pPr>
      <w:r>
        <w:rPr>
          <w:rFonts w:ascii="Calibri" w:hAnsi="Calibri"/>
          <w:b w:val="0"/>
          <w:color w:val="3A4A28"/>
          <w:sz w:val="20"/>
        </w:rPr>
        <w:t>The primary investment concern is valuation — at a forward P/E of 51x and trailing P/E of 53x, the market has priced in years of exceptional growth, leaving limited margin of safety [5]. While the growth trajectory supports premium pricing (40%+ EPS growth, accelerating revenue), any deceleration in aerospace production rates or margin compression would disproportionately impact the stock. Under the IOWN framework, Howmet scores strongly across innovation (sole-source positions, exceptional execution), infrastructure (elite ROE, growing margins, manageable leverage), and AI resilience (physical manufacturing immune to AI substitution). The inspiration dimension is limited by the company's metrics-driven culture and standard industrial mission articulation. A HOLD at 70 reflects a world-class aerospace franchise that is fully valued at current prices — investors should wait for a more attractive entry point or acceleration beyond current guidance.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aerospace OEM production rate increases — Boeing and Airbus targeting higher build rates through 2028+ would drive sustained double-digit revenue growth and further margin expansion through operating leverage [2]</w:t>
      </w:r>
    </w:p>
    <w:p>
      <w:pPr>
        <w:spacing w:before="40" w:after="40"/>
        <w:ind w:left="283"/>
      </w:pPr>
      <w:r>
        <w:rPr>
          <w:rFonts w:ascii="Calibri" w:hAnsi="Calibri"/>
          <w:b/>
          <w:color w:val="4A6B25"/>
          <w:sz w:val="20"/>
        </w:rPr>
        <w:t xml:space="preserve">2. </w:t>
      </w:r>
      <w:r>
        <w:rPr>
          <w:rFonts w:ascii="Calibri" w:hAnsi="Calibri"/>
          <w:b w:val="0"/>
          <w:color w:val="3A4A28"/>
          <w:sz w:val="20"/>
        </w:rPr>
        <w:t>Gas turbine market expansion (+38% Q2 2026 growth) driven by global energy transition and power generation demand could provide meaningful revenue diversification and reduce aerospace-cycle dependency [2]</w:t>
      </w:r>
    </w:p>
    <w:p>
      <w:pPr>
        <w:spacing w:before="40" w:after="40"/>
        <w:ind w:left="283"/>
      </w:pPr>
      <w:r>
        <w:rPr>
          <w:rFonts w:ascii="Calibri" w:hAnsi="Calibri"/>
          <w:b/>
          <w:color w:val="4A6B25"/>
          <w:sz w:val="20"/>
        </w:rPr>
        <w:t xml:space="preserve">3. </w:t>
      </w:r>
      <w:r>
        <w:rPr>
          <w:rFonts w:ascii="Calibri" w:hAnsi="Calibri"/>
          <w:b w:val="0"/>
          <w:color w:val="3A4A28"/>
          <w:sz w:val="20"/>
        </w:rPr>
        <w:t>Sustained margin expansion toward 35%+ adjusted EBITDA margin as production scales, fixed-cost leverage improves, and pricing power strengthens through long-term agreements repriced at favorable 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(51x forward P/E) leaves the stock vulnerable to any disruption in the aerospace growth narrative — a Boeing production delay, supply chain bottleneck, or macroeconomic-driven air travel decline could trigger a significant de-rating [5]</w:t>
      </w:r>
    </w:p>
    <w:p>
      <w:pPr>
        <w:spacing w:before="40" w:after="40"/>
        <w:ind w:left="283"/>
      </w:pPr>
      <w:r>
        <w:rPr>
          <w:rFonts w:ascii="Calibri" w:hAnsi="Calibri"/>
          <w:b/>
          <w:color w:val="4A6B25"/>
          <w:sz w:val="20"/>
        </w:rPr>
        <w:t xml:space="preserve">2. </w:t>
      </w:r>
      <w:r>
        <w:rPr>
          <w:rFonts w:ascii="Calibri" w:hAnsi="Calibri"/>
          <w:b w:val="0"/>
          <w:color w:val="3A4A28"/>
          <w:sz w:val="20"/>
        </w:rPr>
        <w:t>Concentration risk in commercial aerospace (~60% of revenue) means any disruption to OEM production rates — whether from regulatory issues, supply chain constraints, or demand cyclicality — would have outsized impact on financial results</w:t>
      </w:r>
    </w:p>
    <w:p>
      <w:pPr>
        <w:spacing w:before="40" w:after="40"/>
        <w:ind w:left="283"/>
      </w:pPr>
      <w:r>
        <w:rPr>
          <w:rFonts w:ascii="Calibri" w:hAnsi="Calibri"/>
          <w:b/>
          <w:color w:val="4A6B25"/>
          <w:sz w:val="20"/>
        </w:rPr>
        <w:t xml:space="preserve">3. </w:t>
      </w:r>
      <w:r>
        <w:rPr>
          <w:rFonts w:ascii="Calibri" w:hAnsi="Calibri"/>
          <w:b w:val="0"/>
          <w:color w:val="3A4A28"/>
          <w:sz w:val="20"/>
        </w:rPr>
        <w:t>CEO succession risk from the dual Chairman/CEO structure with no designated successor and an intensely top-down management style that has delivered results but may lack organizational depth if leadership transitions unexpectedly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Howmet's core competency — precision manufacturing of titanium, nickel-based superalloys, and aluminum aerospace components — represents one of the most AI-resistant business models in the industrial sector [1]. Manufacturing single-crystal turbine blades for jet engines requires decades of metallurgical expertise, proprietary alloy formulations, specialized casting and forging equipment, and extensive OEM qualification processes that create insurmountable barriers to AI substitution. The physical nature of the product (aerospace-grade metal components operating at extreme temperatures and stresses) cannot be digitized or replaced by software. Customer switching costs are extraordinary — qualifying a new turbine blade supplier for a commercial engine program takes years and requires FAA/EASA certification. The only marginal risk is that AI could optimize OEM supply chain decisions over long horizons, potentially enabling new entrants to win future program qualifications more efficiently, but Howmet's installed base of qualified content provides multi-decade protection. AI Opportunity (0/1): No evidence that Howmet has deployed AI in manufacturing process optimization, predictive maintenance, or quality control, though these applications would be natural fits for the company's high-precision manufacturing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Howmet Aerospace FY2025 Full Year Earnings Release, February 12, 2026</w:t>
      </w:r>
    </w:p>
    <w:p>
      <w:pPr>
        <w:spacing w:before="20" w:after="20"/>
        <w:ind w:left="170"/>
      </w:pPr>
      <w:r>
        <w:rPr>
          <w:rFonts w:ascii="Calibri" w:hAnsi="Calibri"/>
          <w:b/>
          <w:color w:val="4A6B25"/>
          <w:sz w:val="15"/>
        </w:rPr>
        <w:t xml:space="preserve">2. </w:t>
      </w:r>
      <w:r>
        <w:rPr>
          <w:rFonts w:ascii="Calibri" w:hAnsi="Calibri"/>
          <w:b w:val="0"/>
          <w:color w:val="3A4A28"/>
          <w:sz w:val="17"/>
        </w:rPr>
        <w:t>Howmet Aerospace Q2 2026 Earnings Release and Conference Call, August 6, 2026</w:t>
      </w:r>
    </w:p>
    <w:p>
      <w:pPr>
        <w:spacing w:before="20" w:after="20"/>
        <w:ind w:left="170"/>
      </w:pPr>
      <w:r>
        <w:rPr>
          <w:rFonts w:ascii="Calibri" w:hAnsi="Calibri"/>
          <w:b/>
          <w:color w:val="4A6B25"/>
          <w:sz w:val="15"/>
        </w:rPr>
        <w:t xml:space="preserve">3. </w:t>
      </w:r>
      <w:r>
        <w:rPr>
          <w:rFonts w:ascii="Calibri" w:hAnsi="Calibri"/>
          <w:b w:val="0"/>
          <w:color w:val="3A4A28"/>
          <w:sz w:val="17"/>
        </w:rPr>
        <w:t>Built In — Leadership at Howmet Aerospace: How Are the Managers?, 2026; Howmet.com Executive Leadership,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Howmet Aerospace 2023 Environmental, Social and Governance Report; Howmet.com ESG Overview,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 Analysis — HWM statistics, valuation, and financial data, stockanalysis.com,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