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HXHX</w:t>
      </w:r>
      <w:r>
        <w:rPr>
          <w:rFonts w:ascii="Calibri" w:hAnsi="Calibri"/>
          <w:b/>
          <w:color w:val="1A2010"/>
          <w:sz w:val="40"/>
        </w:rPr>
        <w:t xml:space="preserve">  Haoxin Holdings Limited</w:t>
      </w:r>
    </w:p>
    <w:p>
      <w:pPr>
        <w:spacing w:after="120"/>
      </w:pPr>
      <w:r>
        <w:rPr>
          <w:rFonts w:ascii="Calibri" w:hAnsi="Calibri"/>
          <w:b/>
          <w:color w:val="6E8450"/>
          <w:sz w:val="18"/>
        </w:rPr>
        <w:t>GROWTH SLEEVE · 2026-10-15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Integrated Freight &amp; Logistics · NASDAQ · China</w:t>
      </w:r>
    </w:p>
    <w:p>
      <w:pPr>
        <w:spacing w:after="80"/>
      </w:pPr>
      <w:r>
        <w:rPr>
          <w:rFonts w:ascii="Calibri" w:hAnsi="Calibri"/>
          <w:b w:val="0"/>
          <w:color w:val="3A4A28"/>
          <w:sz w:val="20"/>
        </w:rPr>
        <w:t>Haoxin Holdings Limited is a China-based logistics and trucking company headquartered in Ningbo, Zhejiang Province, providing temperature-controlled and medium-sized truck transportation services primarily to manufacturers. The company operates a fleet serving urban delivery and freight logistics across eastern China. With a market cap of approximately $4M, HXHX is a micro-cap stock that IPO'd on Nasdaq and reported FY2025 revenue of $33M with net income of $4M but negative operating cash flow of -$9.6M [1][2].</w:t>
      </w:r>
    </w:p>
    <w:p>
      <w:r>
        <w:rPr>
          <w:rFonts w:ascii="Calibri" w:hAnsi="Calibri"/>
          <w:b/>
          <w:color w:val="6E8450"/>
          <w:sz w:val="18"/>
        </w:rPr>
        <w:t>200 Employees · https://www.haoxinholdings.com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No meaningful product launches, market pivots, or business model transformations identified in the last 5 years; Haoxin remains a traditional freight and logistics operator with no evidence of service diversification beyond its core trucking business [1]. AI Deployment (0/2): No AI deployment or strategy evident; the company has not disclosed any AI-powered logistics optimization, route planning, or operational efficiency tools in its public filings or press releases. Market Share (0/2): Commodity participant in China's highly fragmented logistics market with no evidence of category leadership or meaningful share differentiation. Product Pipeline (1/2): The company announced up to $31.2M in financing from Mermaid Money in June 2026 to fund acquisitions and expansion, suggesting some growth ambitions, though specific product or service pipeline details are vague [3]. R&amp;D Intensity (0/1): No R&amp;D spending reported; the company operates as a traditional logistics provider with no disclosed technology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No distinctive mission, purpose, or vision statement found on the company's public materials; Haoxin appears to operate as a commodity logistics provider without an articulated purpose beyond serving manufacturers' freight needs — scoring 1 for having an implicit but entirely generic business purpose [1]. Community &amp; Charitable Impact (0/2): No evidence of charitable programs, community investment, or philanthropic initiatives found in public filings or press releases. Employee Retention &amp; Tenure (0/2): No employee retention data, tenure statistics, or culture information publicly available; the company employs approximately 200 people but discloses nothing about turnover or employee satisfaction. Insider Buying (0/2): No evidence of meaningful insider buying by CEO Zheng Jun Tao or other executives; limited insider transaction data available for this micro-cap company.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dollar volume of approximately $537,590 (1,919,963 shares x $0.28) falls below the $1,000,000 minimum threshold, resulting in an automatic Infrastructure score of 0 regardless of underlying financial metrics [1]. Before the floor, metrics were mixed: D/E of 42.2% is healthy (below 70% target), ROE of 17.3% exceeds the 15% target, and profit margin of 12.0% is moderate. However, revenue growth is declining at -6.5% YoY, the company reported negative operating cash flow of -$9.6M despite $4.0M net income (raising earnings quality concerns), and the stock trades at a P/E of just 0.92 on a $4M market cap [2]. Two independent directors resigned in June-July 2026, and the company received a 180-day extension from Nasdaq to regain minimum bid price compliance, signaling serious governance and listing risk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Haoxin Holdings exhibits a finite game mindset characterized by the absence of an articulated Just Cause, significant governance instability with two independent directors resigning within weeks of each other, and Nasdaq compliance challenges that suggest the company is focused on near-term survival rather than long-term purpose. The $31.2M financing arrangement for acquisitions shows growth ambition but reads as opportunistic expansion rather than cause-driven strategy.</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evident. Haoxin Holdings exists to provide logistics services and generate revenue; there is no articulated vision of a better future, no purpose statement beyond commercial operations, and no evidence that leadership has defined why the company exists beyond profit [1]. The company's public communications focus exclusively on financial transactions and compliance updates, with no reference to a broader mission or societal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Low-trust signals dominate. Two independent directors resigned in June and July 2026, and the company faces Nasdaq minimum bid price compliance challenges requiring a 180-day extension — these governance disruptions suggest organizational instability rather than a stable, trusting environment [3]. No public information about employee culture, engagement, or retention practices.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Haoxin operates in China's highly competitive freight logistics market but has not publicly acknowledged competitors' strengths or framed competition as motivation for self-improvement. No management commentary referencing learning from rivals or competitive positioning beyond basic market participation.</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No evidence of strategic adaptation or business model evolution. Haoxin remains a traditional trucking and logistics operator with the same service model since its founding. The $31.2M financing for acquisitions announced in June 2026 could signal future flexibility, but no actual pivot or transformative strategic shift has been executed [3].</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strategic decisions. Leadership has not demonstrated willingness to sacrifice short-term results for long-term capability building. The company's focus appears to be on maintaining Nasdaq listing compliance and securing financing rather than making bold strategic investments. Board instability with multiple director resignations suggests leadership challenges rather than courageous direction-setting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Haoxin Holdings at $0.28 with a $4M market cap is a micro-cap Chinese logistics company operating temperature-controlled and medium-sized truck fleets in eastern China. FY2025 revenue reached $33M with net income of $4M, and the company secured up to $31.2M in new financing from Mermaid Money in June 2026 to fund acquisitions and expansion, suggesting management sees growth opportunities in China's fragmented logistics market [1][2][3]. The D/E ratio of 42.2% and ROE of 17.3% indicate a reasonably healthy balance sheet and capital efficiency for a logistics operator.</w:t>
      </w:r>
    </w:p>
    <w:p>
      <w:pPr>
        <w:spacing w:after="120"/>
      </w:pPr>
      <w:r>
        <w:rPr>
          <w:rFonts w:ascii="Calibri" w:hAnsi="Calibri"/>
          <w:b w:val="0"/>
          <w:color w:val="3A4A28"/>
          <w:sz w:val="20"/>
        </w:rPr>
        <w:t>The bear case is overwhelming. HXHX trades at a $4M market cap with a stock price of $0.28, triggering the IOWN liquidity floor with daily dollar volume of just $537K — the stock is effectively untradeable for any institutional portfolio [1]. Two independent directors resigned within weeks of each other in mid-2026, and the company received a 180-day Nasdaq extension to regain minimum bid price compliance ($1.00), meaning delisting risk is real and immediate [3]. Despite reporting $4M net income, operating cash flow was negative $9.6M in FY2025, raising serious earnings quality concerns — the company may be generating accounting profits while burning cash [2]. The P/E of 0.92x is artificially low given the micro-cap size and suggests the market deeply discounts the sustainability of reported earnings. No analyst coverage, no institutional ownership data, and virtually no public information about management strategy or competitive positioning make this an uninvestable name for the IOWN framework.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execution of $31.2M acquisition and expansion strategy funded by Mermaid Money financing could scale revenue meaningfully from the $33M base and establish market presence in new logistics segments [3]</w:t>
      </w:r>
    </w:p>
    <w:p>
      <w:pPr>
        <w:spacing w:before="40" w:after="40"/>
        <w:ind w:left="283"/>
      </w:pPr>
      <w:r>
        <w:rPr>
          <w:rFonts w:ascii="Calibri" w:hAnsi="Calibri"/>
          <w:b/>
          <w:color w:val="4A6B25"/>
          <w:sz w:val="20"/>
        </w:rPr>
        <w:t xml:space="preserve">2. </w:t>
      </w:r>
      <w:r>
        <w:rPr>
          <w:rFonts w:ascii="Calibri" w:hAnsi="Calibri"/>
          <w:b w:val="0"/>
          <w:color w:val="3A4A28"/>
          <w:sz w:val="20"/>
        </w:rPr>
        <w:t>Regaining Nasdaq minimum bid price compliance through reverse stock split or sustained price recovery would remove near-term delisting risk and potentially attract institutional interest</w:t>
      </w:r>
    </w:p>
    <w:p>
      <w:pPr>
        <w:spacing w:before="40" w:after="40"/>
        <w:ind w:left="283"/>
      </w:pPr>
      <w:r>
        <w:rPr>
          <w:rFonts w:ascii="Calibri" w:hAnsi="Calibri"/>
          <w:b/>
          <w:color w:val="4A6B25"/>
          <w:sz w:val="20"/>
        </w:rPr>
        <w:t xml:space="preserve">3. </w:t>
      </w:r>
      <w:r>
        <w:rPr>
          <w:rFonts w:ascii="Calibri" w:hAnsi="Calibri"/>
          <w:b w:val="0"/>
          <w:color w:val="3A4A28"/>
          <w:sz w:val="20"/>
        </w:rPr>
        <w:t>China's cold chain logistics market growing at 15%+ annually could provide secular tailwinds for Haoxin's temperature-controlled trucking operations if the company can capture market share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Nasdaq delisting risk is immediate — the stock must sustain above $1.00 bid price within the 180-day compliance period or face removal from the exchange, which would severely impair liquidity and institutional access [3]</w:t>
      </w:r>
    </w:p>
    <w:p>
      <w:pPr>
        <w:spacing w:before="40" w:after="40"/>
        <w:ind w:left="283"/>
      </w:pPr>
      <w:r>
        <w:rPr>
          <w:rFonts w:ascii="Calibri" w:hAnsi="Calibri"/>
          <w:b/>
          <w:color w:val="4A6B25"/>
          <w:sz w:val="20"/>
        </w:rPr>
        <w:t xml:space="preserve">2. </w:t>
      </w:r>
      <w:r>
        <w:rPr>
          <w:rFonts w:ascii="Calibri" w:hAnsi="Calibri"/>
          <w:b w:val="0"/>
          <w:color w:val="3A4A28"/>
          <w:sz w:val="20"/>
        </w:rPr>
        <w:t>Negative operating cash flow of -$9.6M despite $4M reported net income raises fundamental earnings quality concerns and suggests the company may need additional dilutive financing to fund operations [2]</w:t>
      </w:r>
    </w:p>
    <w:p>
      <w:pPr>
        <w:spacing w:before="40" w:after="40"/>
        <w:ind w:left="283"/>
      </w:pPr>
      <w:r>
        <w:rPr>
          <w:rFonts w:ascii="Calibri" w:hAnsi="Calibri"/>
          <w:b/>
          <w:color w:val="4A6B25"/>
          <w:sz w:val="20"/>
        </w:rPr>
        <w:t xml:space="preserve">3. </w:t>
      </w:r>
      <w:r>
        <w:rPr>
          <w:rFonts w:ascii="Calibri" w:hAnsi="Calibri"/>
          <w:b w:val="0"/>
          <w:color w:val="3A4A28"/>
          <w:sz w:val="20"/>
        </w:rPr>
        <w:t>Governance instability with two independent directors resigning in rapid succession and no disclosed succession plan undermines board oversight and investor confidence at a time when the company needs credibility to attract capital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Haoxin's core business of physical freight transportation — operating temperature-controlled and medium-sized trucks for manufacturers — is structurally protected from AI substitution because goods must be physically moved regardless of AI advancement [1]. The logistics industry's physical-world operations, driver requirements, and infrastructure dependencies create natural barriers to AI displacement. However, scoring PROTECTED rather than IMMUNE because AI-powered logistics optimization platforms, autonomous trucking technology (advancing in China through companies like TuSimple and Pony.ai), and AI-driven supply chain management tools could eventually compress margins for traditional operators that lack technology adoption. AI Opportunity (0/1): No evidence of AI-related revenue generation; Haoxin has not disclosed any AI products, services, or technology partnerships that generate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Yahoo Finance — HXHX key statistics and financial data, accessed October 2026</w:t>
      </w:r>
    </w:p>
    <w:p>
      <w:pPr>
        <w:spacing w:before="20" w:after="20"/>
        <w:ind w:left="170"/>
      </w:pPr>
      <w:r>
        <w:rPr>
          <w:rFonts w:ascii="Calibri" w:hAnsi="Calibri"/>
          <w:b/>
          <w:color w:val="4A6B25"/>
          <w:sz w:val="15"/>
        </w:rPr>
        <w:t xml:space="preserve">2. </w:t>
      </w:r>
      <w:r>
        <w:rPr>
          <w:rFonts w:ascii="Calibri" w:hAnsi="Calibri"/>
          <w:b w:val="0"/>
          <w:color w:val="3A4A28"/>
          <w:sz w:val="17"/>
        </w:rPr>
        <w:t>Haoxin Holdings Limited SEC filings — FY2025 annual report via EDGAR, Revenue $33.04M, Net Income $3.97M, Operating Cash Flow -$9.55M</w:t>
      </w:r>
    </w:p>
    <w:p>
      <w:pPr>
        <w:spacing w:before="20" w:after="20"/>
        <w:ind w:left="170"/>
      </w:pPr>
      <w:r>
        <w:rPr>
          <w:rFonts w:ascii="Calibri" w:hAnsi="Calibri"/>
          <w:b/>
          <w:color w:val="4A6B25"/>
          <w:sz w:val="15"/>
        </w:rPr>
        <w:t xml:space="preserve">3. </w:t>
      </w:r>
      <w:r>
        <w:rPr>
          <w:rFonts w:ascii="Calibri" w:hAnsi="Calibri"/>
          <w:b w:val="0"/>
          <w:color w:val="3A4A28"/>
          <w:sz w:val="17"/>
        </w:rPr>
        <w:t>Haoxin Holdings Board Changes, Nasdaq Compliance Update, and $31.2M Financing Announcement — Newsfile/corporate press releases, June-July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