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HYT</w:t>
      </w:r>
      <w:r>
        <w:rPr>
          <w:rFonts w:ascii="Calibri" w:hAnsi="Calibri"/>
          <w:b/>
          <w:color w:val="1A2010"/>
          <w:sz w:val="40"/>
        </w:rPr>
        <w:t xml:space="preserve">  BlackRock Corporate High Yield Fund, Inc.</w:t>
      </w:r>
    </w:p>
    <w:p>
      <w:pPr>
        <w:spacing w:after="120"/>
      </w:pPr>
      <w:r>
        <w:rPr>
          <w:rFonts w:ascii="Calibri" w:hAnsi="Calibri"/>
          <w:b/>
          <w:color w:val="6E8450"/>
          <w:sz w:val="18"/>
        </w:rPr>
        <w:t>DIVIDEND SLEEVE · 2026-09-26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BlackRock Corporate High Yield Fund is a closed-end fixed income fund, launched in 2003 and managed by BlackRock Advisors, LLC, that invests at least 80% of assets in domestic and foreign below-investment-grade securities — high yield bonds, corporate loans, convertible debt, and preferred securities — with a primary objective of current income and a secondary objective of capital appreciation. The fund pays a consistent monthly distribution (current yield approximately 11.9%) and received a Morningstar Bronze medal against 26 peer high-yield bond funds as of August 31, 2026. As a passively-structured income vehicle rather than an operating company, it is evaluated here on the same IOWN framework applied to all screened securities.</w:t>
      </w:r>
    </w:p>
    <w:p>
      <w:r>
        <w:rPr>
          <w:rFonts w:ascii="Calibri" w:hAnsi="Calibri"/>
          <w:b/>
          <w:color w:val="6E8450"/>
          <w:sz w:val="18"/>
        </w:rPr>
        <w:t>https://www.blackrock.com/investing/products/240182/blackrock-corporate-high-yield-fund-vi-inc-usd-fund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HYT has run the same high-yield bond/loan strategy since its 2003 launch with no product pivots or business model changes. AI Deployment (0/2): No fund-specific evidence of AI-driven credit selection, cost savings, or performance gains was found; BlackRock's firm-wide Aladdin platform is not disclosed as specifically applied to this fund's results. Market Share (1/2): The fund is a meaningful, established player in the high-yield CEF category (Morningstar Bronze rating among 26 peer funds) but is not a category leader [3]. Product Pipeline (0/2): As a fixed-mandate closed-end fund, there is no new product pipeline. R&amp;D Intensity (0/1): Not applicable to a passively-structured investment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fund's stated objective — current income with secondary capital appreciation from below-investment-grade securities — is standard, interchangeable investment-vehicle language with no larger purpose articulated [1]. Community Impact (0/2): No fund-specific charitable or community investment programs were identified. Employee Retention (0/2): The fund has no employees of its own (managed by BlackRock Advisors, LLC); no applicable retention data exists. Insider Buying (0/2): No meaningful insider transaction data is trackable for a closed-end fund structure.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dividend-stock weights (consecutive years paid and 5yr dividend growth CAGR at 2x); Forward P/E and 5yr revenue CAGR are not meaningful for a bond CEF and were excluded as unavailable. D/E of 37.82% and profit margin of 63.27% (reflecting bond income accounting) both score at or near the ceiling, and 2025 revenue (investment income) grew 14.7% YoY, also maxing its metric [4]. ROE of 6.04% scores modestly against the 15% target. On dividend quality, the fund's 20+ year uninterrupted monthly distribution history scores well, but a payout ratio of 155.8% scores zero (signaling the distribution includes return of capital) and no confirmed history of consecutive distribution increases or a positive 5-year distribution growth CAGR was found, so both score zero [4]. The stock clears the liquidity floor at approximately $6.9M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As a closed-end bond fund rather than an operating business, HYT has no articulated Just Cause beyond generating income for shareholders, has not faced (or needed) an existential pivot in its unchanged 20+ year strategy, and shows no evidence of a competitive mindset framed around learning from rivals — a structurally finite-game vehicle by category, distinct from an assessment of its usefulness as an income holding.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fund's purpose is to generate income and capital appreciation for shareholders — a financial-product mandate with no articulated vision of a better future beyond investor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fund is managed by BlackRock's Leveraged Finance team, which oversees approximately $100 billion in dedicated high-yield and loan strategies, indicating institutional scale and stability, though no fund-specific culture or turnover data is available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the fund or manager framing peer high-yield funds as sources of learning or improvement; competitive positioning is described only in relative-performance/ratings terms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HYT has maintained the same high-yield bond, loan, and preferred securities strategy since its 2003 inception with no fundamental strategic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found of the fund's management sacrificing near-term distribution income or returns in service of a longer-term principle; portfolio management follows a standard income mandate.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HYT is a 20+ year old BlackRock-managed closed-end high-yield bond fund offering a current yield of approximately 11.9% through consistent monthly distributions, drawing on BlackRock's roughly $100 billion leveraged finance platform for credit selection [2]. The fund earned a Morningstar Bronze medal against 26 peer high-yield bond funds as of August 2026, and 2025 investment income grew 14.7% YoY with a low D/E of 37.8% relative to typical CEF leverage levels [3][4]. For income-focused allocators, the fund offers professionally managed, diversified below-investment-grade credit exposure with a long operating history and no interruption to its monthly distribution.</w:t>
      </w:r>
    </w:p>
    <w:p>
      <w:pPr>
        <w:spacing w:after="120"/>
      </w:pPr>
      <w:r>
        <w:rPr>
          <w:rFonts w:ascii="Calibri" w:hAnsi="Calibri"/>
          <w:b w:val="0"/>
          <w:color w:val="3A4A28"/>
          <w:sz w:val="20"/>
        </w:rPr>
        <w:t>The bear case is structural rather than fundamental: a payout ratio of 155.8% indicates the current distribution is not fully covered by net investment income and likely includes return of capital, eroding NAV over time if unaddressed [4]. No evidence was found of consecutive distribution increases or a positive 5-year distribution growth trend, meaning income has not kept pace with inflation. Because HYT is a passive income vehicle rather than an operating business, it scores structurally low across Innovation, Inspiration, and Infinite Game — dimensions this IOWN framework weights at 75% of the composite score — meaning the overall score understates its narrower merits as a diversified high-yield income instrument. Closed-end fund discount/premium volatility and credit-cycle sensitivity in a below-investment-grade portfolio remain additional structural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Morningstar Bronze-tier risk-adjusted performance versus the peer high-yield CEF universe supporting demand for the fund's shares [3]</w:t>
      </w:r>
    </w:p>
    <w:p>
      <w:pPr>
        <w:spacing w:before="40" w:after="40"/>
        <w:ind w:left="283"/>
      </w:pPr>
      <w:r>
        <w:rPr>
          <w:rFonts w:ascii="Calibri" w:hAnsi="Calibri"/>
          <w:b/>
          <w:color w:val="4A6B25"/>
          <w:sz w:val="20"/>
        </w:rPr>
        <w:t xml:space="preserve">2. </w:t>
      </w:r>
      <w:r>
        <w:rPr>
          <w:rFonts w:ascii="Calibri" w:hAnsi="Calibri"/>
          <w:b w:val="0"/>
          <w:color w:val="3A4A28"/>
          <w:sz w:val="20"/>
        </w:rPr>
        <w:t>Stable or tightening high-yield credit spreads supporting NAV and coverage of the current distribution rate [1]</w:t>
      </w:r>
    </w:p>
    <w:p>
      <w:pPr>
        <w:spacing w:before="40" w:after="40"/>
        <w:ind w:left="283"/>
      </w:pPr>
      <w:r>
        <w:rPr>
          <w:rFonts w:ascii="Calibri" w:hAnsi="Calibri"/>
          <w:b/>
          <w:color w:val="4A6B25"/>
          <w:sz w:val="20"/>
        </w:rPr>
        <w:t xml:space="preserve">3. </w:t>
      </w:r>
      <w:r>
        <w:rPr>
          <w:rFonts w:ascii="Calibri" w:hAnsi="Calibri"/>
          <w:b w:val="0"/>
          <w:color w:val="3A4A28"/>
          <w:sz w:val="20"/>
        </w:rPr>
        <w:t>Potential narrowing of any fund discount to NAV, which would benefit shareholders independent of underlying portfolio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155.8% suggests the monthly distribution is not fully covered by net investment income, implying ongoing return of capital and potential NAV erosion [4]</w:t>
      </w:r>
    </w:p>
    <w:p>
      <w:pPr>
        <w:spacing w:before="40" w:after="40"/>
        <w:ind w:left="283"/>
      </w:pPr>
      <w:r>
        <w:rPr>
          <w:rFonts w:ascii="Calibri" w:hAnsi="Calibri"/>
          <w:b/>
          <w:color w:val="4A6B25"/>
          <w:sz w:val="20"/>
        </w:rPr>
        <w:t xml:space="preserve">2. </w:t>
      </w:r>
      <w:r>
        <w:rPr>
          <w:rFonts w:ascii="Calibri" w:hAnsi="Calibri"/>
          <w:b w:val="0"/>
          <w:color w:val="3A4A28"/>
          <w:sz w:val="20"/>
        </w:rPr>
        <w:t>No confirmed history of distribution increases; income has likely not kept pace with inflation over a 5-year horizon</w:t>
      </w:r>
    </w:p>
    <w:p>
      <w:pPr>
        <w:spacing w:before="40" w:after="40"/>
        <w:ind w:left="283"/>
      </w:pPr>
      <w:r>
        <w:rPr>
          <w:rFonts w:ascii="Calibri" w:hAnsi="Calibri"/>
          <w:b/>
          <w:color w:val="4A6B25"/>
          <w:sz w:val="20"/>
        </w:rPr>
        <w:t xml:space="preserve">3. </w:t>
      </w:r>
      <w:r>
        <w:rPr>
          <w:rFonts w:ascii="Calibri" w:hAnsi="Calibri"/>
          <w:b w:val="0"/>
          <w:color w:val="3A4A28"/>
          <w:sz w:val="20"/>
        </w:rPr>
        <w:t>Below-investment-grade credit exposure leaves the fund vulnerable to a high-yield credit cycle downturn or spread-widening event, and use of leverage magnifies both gains and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HYT's function — professional credit selection and portfolio construction across a diversified below-investment-grade bond and loan book, backed by BlackRock's roughly $100 billion dedicated leveraged finance platform — has structural moats (scale, credit research depth, closed-end structure) that limit direct AI substitution risk, though the broader active-management fee model faces gradual longer-term pressure from AI-assisted indexing and robo-advisory tools [2]. AI Opportunity (0/1): No AI-attributable revenue or performance contribution specific to this fund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BlackRock Corporate High Yield Fund Fact Sheet, as of March 31, 2026, blackrock.com</w:t>
      </w:r>
    </w:p>
    <w:p>
      <w:pPr>
        <w:spacing w:before="20" w:after="20"/>
        <w:ind w:left="170"/>
      </w:pPr>
      <w:r>
        <w:rPr>
          <w:rFonts w:ascii="Calibri" w:hAnsi="Calibri"/>
          <w:b/>
          <w:color w:val="4A6B25"/>
          <w:sz w:val="15"/>
        </w:rPr>
        <w:t xml:space="preserve">2. </w:t>
      </w:r>
      <w:r>
        <w:rPr>
          <w:rFonts w:ascii="Calibri" w:hAnsi="Calibri"/>
          <w:b w:val="0"/>
          <w:color w:val="3A4A28"/>
          <w:sz w:val="17"/>
        </w:rPr>
        <w:t>BlackRock Corporate High Yield Fund, Inc. Form N-CSRS FY2026, SEC.gov — fund structure, manager, and distribution policy</w:t>
      </w:r>
    </w:p>
    <w:p>
      <w:pPr>
        <w:spacing w:before="20" w:after="20"/>
        <w:ind w:left="170"/>
      </w:pPr>
      <w:r>
        <w:rPr>
          <w:rFonts w:ascii="Calibri" w:hAnsi="Calibri"/>
          <w:b/>
          <w:color w:val="4A6B25"/>
          <w:sz w:val="15"/>
        </w:rPr>
        <w:t xml:space="preserve">3. </w:t>
      </w:r>
      <w:r>
        <w:rPr>
          <w:rFonts w:ascii="Calibri" w:hAnsi="Calibri"/>
          <w:b w:val="0"/>
          <w:color w:val="3A4A28"/>
          <w:sz w:val="17"/>
        </w:rPr>
        <w:t>Morningstar CEF quote and Bronze medal rating vs. 26 high-yield bond fund peers, as of August 31,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StockAnalysis.com/Yahoo Finance — HYT key statistics: D/E 37.82%, ROE 6.04%, profit margin 63.27%, revenue growth 14.7% YoY, payout ratio 155.8%,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