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IBKR</w:t>
      </w:r>
      <w:r>
        <w:rPr>
          <w:rFonts w:ascii="Calibri" w:hAnsi="Calibri"/>
          <w:b/>
          <w:color w:val="1A2010"/>
          <w:sz w:val="40"/>
        </w:rPr>
        <w:t xml:space="preserve">  Interactive Brokers Group, Inc.</w:t>
      </w:r>
    </w:p>
    <w:p>
      <w:pPr>
        <w:spacing w:after="120"/>
      </w:pPr>
      <w:r>
        <w:rPr>
          <w:rFonts w:ascii="Calibri" w:hAnsi="Calibri"/>
          <w:b/>
          <w:color w:val="6E8450"/>
          <w:sz w:val="18"/>
        </w:rPr>
        <w:t>GROWTH SLEEVE · 2026-10-19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Interactive Brokers is an automated electronic broker providing execution, clearance, and settlement across stocks, options, futures, forex, bonds, precious metals, and cryptocurrencies globally, built on the low-cost, technology-first model founder Thomas Peterffy pioneered since 1977 [2]. Q2 2026 revenue reached a record $1.9 billion (+32% YoY), with commission revenue up 30% to $673 million, client equity up 40% YoY to $930 billion, and Daily Average Revenue Trades up 36% YoY to 4.8 million [1]. Just 3,265 employees support this scale, reflecting the automation-first operating model that has defined the company for decades.</w:t>
      </w:r>
    </w:p>
    <w:p>
      <w:r>
        <w:rPr>
          <w:rFonts w:ascii="Calibri" w:hAnsi="Calibri"/>
          <w:b/>
          <w:color w:val="6E8450"/>
          <w:sz w:val="18"/>
        </w:rPr>
        <w:t>3,265 Employees · https://www.interactivebrokers.com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IBKR delivered a seventh consecutive quarter of pretax margins above 70%, record Q2 2026 revenue of $1.9 billion (+28% YoY), client equity up 40% to $930 billion, and new account growth of 34%, plus extending B3 (Brazil) exchange access to non-Brazil clients — sustained, compounding execution rather than a redefining pivot, since the foundational automated-brokerage innovation predates the last five years [1]. AI Deployment (1/2): Founder Thomas Peterffy has discussed AI's growing role in trading and prediction markets and flagged client concern about AI-sector volatility, but no specific quantified AI-driven internal savings or major shipped AI product was identified [2]. Market Share (2/2): DARTs up 36% YoY to 4.8 million and client equity up 40% to $930 billion represent clear, quantified share gains in the self-directed and professional trading segment [1]. Product Pipeline (1/2): Expanded B3 exchange access for non-Brazil clients is a specific, named product/market expansion, though incremental rather than a next-generation platform overhaul [1]. R&amp;D Intensity (1/1): Supporting $930 billion in client equity and 4.8 million daily trades with just 3,265 employees implies exceptionally high technology investment intensity relative to headcount, consistent with an automation-first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IBKR's long-standing positioning around using automated technology to lower trading costs and democratize market access is clear and has shaped the company's product decisions for decades, but no explicit, distinctive mission statement was confirmed in research, keeping this below the top tier [2]. Community Impact (0/2): No charitable or community investment programs were identified. Employee Retention (0/2): No tenure or turnover data was found. Insider Buying (0/2): Research found net insider selling — founder Thomas Peterffy recorded 152 sell transactions and zero buys over the past five years, with other executives (Earl Nemser -800,000 shares, Paul Brody -1,000,000 shares) also net sellers in recent periods — which scores zero per the rubric's 'net insider selling' criterion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sleeve metrics. D/E of 151.52% (reflecting customer margin-loan liabilities typical of a broker-dealer) against a 70% target and 300% floor scores 0.65 — improved from prior quarter as leverage moderated. ROE of 23.67% (2x weight, target &gt;=15%) scores a capped 1.0. Revenue growth YoY of 13.5% (target &gt;=10%) scores a capped 1.0. Estimated revenue 5yr CAGR of roughly 19% (2x weight, target &gt;=10%) scores a capped 1.0. Forward P/E of 24.95x (target &lt;=20x, floor 60x) scores 0.88 — significantly improved from 30.8x as the stock price declined 16%. Profit margin of 16.68% (target &gt;=20%) scores 0.83. Estimated forward PEG of 1.47x (2x weight, target &lt;=1.0x, floor 3.0x) scores 0.77. Weighted sum of 8.89 against a max of 10.0 yields an infrastructure score of 9, reflecting a highly profitable, fast-growing brokerage with improving valuation [1]. Liquidity floor is easily cleared at roughly $347.8M in estimated daily dollar volume (4,205,797 shares x $82.69).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Interactive Brokers has a genuinely validated, multi-decade cause — using automated technology to structurally lower the cost of market access — that has shaped its product and geographic expansion since Thomas Peterffy began building computerized trading systems in the 1970s, and the company has continuously expanded into new asset classes and markets without ever needing a Kodak-style existential reversal. Set against that is a pattern of persistent net insider selling, a $38 million SEC fine for anti-money-laundering and suspicious-activity-report failures, and no evidence of the company explicitly framing competitors as a source of learning — a mixed rather than fully infinite profile.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IBKR's founding cause — using automation to structurally lower trading costs and expand market access globally — has been consistently pursued since Thomas Peterffy began building computerized trading systems in the 1970s, evidenced by continuous global and asset-class expansion (B3 Brazil access, options, futures, forex, bonds, cryptocurrencies) [1][2]. It falls short of the top tier because no explicit, formally articulated Just Cause statement was directly confirmed in research.</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IBKR shows leadership continuity (Peterffy as long-tenured founder/chairman, Milan Galik as CEO since 2019) and no evidence of mass layoffs, suggesting a stable organization, but a $38 million SEC fine for failing to file over 150 suspicious activity reports and failing to investigate red flags is a governance red flag that keeps this at 'adequate' rather than 'high-trust'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IBKR framing competitors like Charles Schwab or Fidelity as sources of learning or self-improvement; available commentary centers on Peterffy's personal views on AI and market structure rather than competitive positioning language.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IBKR has continuously expanded into new asset classes and geographies over decades — options, futures, forex, bonds, cryptocurrencies, and now extended B3 Brazil exchange access — but this is additive evolution of an already-innovative platform rather than abandonment of a core business in the style of a transformative pivot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IBKR has consistently prioritized its low-margin, technology-heavy automated brokerage and market-making infrastructure over decades even as peers chased higher-margin wealth management and advisory fee models, reflecting a long-term structural cost-advantage bet over short-term margin optimization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Interactive Brokers at $82.69 is compounding at scale with improving valuation: Q2 2026 revenue hit a record $1.9 billion (+32% YoY) with commission revenue up 30% to $673 million, client equity up 40% YoY to $930 billion, and DARTs up 36% YoY to 4.8 million — growth metrics that materially outpace most brokerage peers [1]. A mechanically-derived infrastructure score of 9 reflects genuinely strong fundamentals: 23.7% ROE, robust revenue growth, a roughly 19% five-year revenue CAGR, and an improved forward P/E of 24.95x (down from 30.8x), all achieved with just 3,265 employees supporting nearly a trillion dollars in client equity — an extraordinary efficiency ratio that underscores the durability of the automation-first model founder Thomas Peterffy built over five decades.</w:t>
      </w:r>
    </w:p>
    <w:p>
      <w:pPr>
        <w:spacing w:after="120"/>
      </w:pPr>
      <w:r>
        <w:rPr>
          <w:rFonts w:ascii="Calibri" w:hAnsi="Calibri"/>
          <w:b w:val="0"/>
          <w:color w:val="3A4A28"/>
          <w:sz w:val="20"/>
        </w:rPr>
        <w:t>The bear case centers on governance texture and interest rate sensitivity rather than fundamentals: persistent net insider selling — Peterffy alone recorded 152 sales and zero buys over five years, with other executives also net sellers — removes a potential conviction signal even as the business performs well [2]. A $38 million SEC fine for anti-money-laundering and suspicious-activity-report failures is a governance blemish worth monitoring, and Glassdoor's culture rating of 3.2/5 with some employees describing an uncollaborative environment outside client services suggests organizational culture is a potential weak spot [3]. D/E of 151.52% (largely customer margin-loan liabilities, typical for broker-dealers) still requires investors to be comfortable with the balance sheet structure inherent to the brokerage model. IBKR's revenue is also meaningfully levered to net interest income, meaning a sustained rate-cutting cycle could pressure the ~$1 billion quarterly net interest income line even as trading volumes stay strong.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client equity and account growth (already +40% and +34% YoY respectively) as global retail and professional traders consolidate onto IBKR's low-cost automated platform [1]</w:t>
      </w:r>
    </w:p>
    <w:p>
      <w:pPr>
        <w:spacing w:before="40" w:after="40"/>
        <w:ind w:left="283"/>
      </w:pPr>
      <w:r>
        <w:rPr>
          <w:rFonts w:ascii="Calibri" w:hAnsi="Calibri"/>
          <w:b/>
          <w:color w:val="4A6B25"/>
          <w:sz w:val="20"/>
        </w:rPr>
        <w:t xml:space="preserve">2. </w:t>
      </w:r>
      <w:r>
        <w:rPr>
          <w:rFonts w:ascii="Calibri" w:hAnsi="Calibri"/>
          <w:b w:val="0"/>
          <w:color w:val="3A4A28"/>
          <w:sz w:val="20"/>
        </w:rPr>
        <w:t>Further international exchange access expansion following the B3 Brazil access extension to non-Brazil clients, broadening the addressable market for cross-border trading [1]</w:t>
      </w:r>
    </w:p>
    <w:p>
      <w:pPr>
        <w:spacing w:before="40" w:after="40"/>
        <w:ind w:left="283"/>
      </w:pPr>
      <w:r>
        <w:rPr>
          <w:rFonts w:ascii="Calibri" w:hAnsi="Calibri"/>
          <w:b/>
          <w:color w:val="4A6B25"/>
          <w:sz w:val="20"/>
        </w:rPr>
        <w:t xml:space="preserve">3. </w:t>
      </w:r>
      <w:r>
        <w:rPr>
          <w:rFonts w:ascii="Calibri" w:hAnsi="Calibri"/>
          <w:b w:val="0"/>
          <w:color w:val="3A4A28"/>
          <w:sz w:val="20"/>
        </w:rPr>
        <w:t>Sustained elevated trading volumes (DARTs +36% YoY) driven by continued market volatility and growing algorithmic/AI-assisted trading flows routing through IBKR's execution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 sustained decline in interest rates would pressure net interest income, which grew 23% YoY to over $1 billion in Q2 2026 and represents a meaningful share of total revenue, independent of trading activity trends [1]</w:t>
      </w:r>
    </w:p>
    <w:p>
      <w:pPr>
        <w:spacing w:before="40" w:after="40"/>
        <w:ind w:left="283"/>
      </w:pPr>
      <w:r>
        <w:rPr>
          <w:rFonts w:ascii="Calibri" w:hAnsi="Calibri"/>
          <w:b/>
          <w:color w:val="4A6B25"/>
          <w:sz w:val="20"/>
        </w:rPr>
        <w:t xml:space="preserve">2. </w:t>
      </w:r>
      <w:r>
        <w:rPr>
          <w:rFonts w:ascii="Calibri" w:hAnsi="Calibri"/>
          <w:b w:val="0"/>
          <w:color w:val="3A4A28"/>
          <w:sz w:val="20"/>
        </w:rPr>
        <w:t>Persistent net insider selling across the founder and multiple executives removes a positive signal that management sees the current valuation (30.8x forward P/E) as attractive, and could pressure sentiment if selling accelerates [2]</w:t>
      </w:r>
    </w:p>
    <w:p>
      <w:pPr>
        <w:spacing w:before="40" w:after="40"/>
        <w:ind w:left="283"/>
      </w:pPr>
      <w:r>
        <w:rPr>
          <w:rFonts w:ascii="Calibri" w:hAnsi="Calibri"/>
          <w:b/>
          <w:color w:val="4A6B25"/>
          <w:sz w:val="20"/>
        </w:rPr>
        <w:t xml:space="preserve">3. </w:t>
      </w:r>
      <w:r>
        <w:rPr>
          <w:rFonts w:ascii="Calibri" w:hAnsi="Calibri"/>
          <w:b w:val="0"/>
          <w:color w:val="3A4A28"/>
          <w:sz w:val="20"/>
        </w:rPr>
        <w:t>The $38 million SEC fine for AML/SAR compliance failures highlights regulatory risk inherent to operating a large, automated global brokerage, with potential for further scrutiny or penalties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IBKR is largely execution and clearing infrastructure — deep liquidity access, direct market connectivity across global exchanges, and heavy regulatory licensing create switching costs and barriers that AI trading agents or robo-advisors still need to route through rather than bypass, and rising AI/algorithmic trading volumes are arguably a modest tailwind for order flow rather than a threat [2]. Founder Thomas Peterffy's public comments about 'customers concerned about the AI sector in general' refer to client portfolio risk in AI-exposed stocks, not a disruption threat to IBKR's own brokerage model, so this stops short of the top IMMUNE tier reserved for businesses with zero plausible AI-vector exposure. AI Opportunity (0/1): No specific quantified AI-product revenue was identified; IBKR's AI-related tools (ESG scoring, market commentary) are ancillary rather than a distinct monetized revenue line, so the tiebreaker point is not earned.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Interactive Brokers Q2 2026 Earnings Results — Revenue $1.9B (+28% YoY), Net Income $1.338B, 77% Pretax Margin (7th Consecutive Quarter &gt;70%), Client Equity $930B (+40%), DARTs 4.8M/day (+36%) — GuruFocus/StockTitan,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Interactive Brokers Leadership — Founder/Chairman Thomas Peterffy, CEO Milan Galik, AI and Market Commentary, Insider Trading Advocacy — CNBC/AdvisorHub/Bloomberg, 2026</w:t>
      </w:r>
    </w:p>
    <w:p>
      <w:pPr>
        <w:spacing w:before="20" w:after="20"/>
        <w:ind w:left="170"/>
      </w:pPr>
      <w:r>
        <w:rPr>
          <w:rFonts w:ascii="Calibri" w:hAnsi="Calibri"/>
          <w:b/>
          <w:color w:val="4A6B25"/>
          <w:sz w:val="15"/>
        </w:rPr>
        <w:t xml:space="preserve">3. </w:t>
      </w:r>
      <w:r>
        <w:rPr>
          <w:rFonts w:ascii="Calibri" w:hAnsi="Calibri"/>
          <w:b w:val="0"/>
          <w:color w:val="3A4A28"/>
          <w:sz w:val="17"/>
        </w:rPr>
        <w:t>Interactive Brokers Insider Transactions and Compliance — Net Insider Selling (Peterffy 152 sells/0 buys over 5 years, Nemser -800K shares, Brody -1M shares), $38M SEC AML/SAR Fine — GuruFocus/TipRanks/FinanceMagnates,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