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IBM</w:t>
      </w:r>
      <w:r>
        <w:rPr>
          <w:rFonts w:ascii="Calibri" w:hAnsi="Calibri"/>
          <w:b/>
          <w:color w:val="1A2010"/>
          <w:sz w:val="40"/>
        </w:rPr>
        <w:t xml:space="preserve">  International Business Machines</w:t>
      </w:r>
    </w:p>
    <w:p>
      <w:pPr>
        <w:spacing w:after="120"/>
      </w:pPr>
      <w:r>
        <w:rPr>
          <w:rFonts w:ascii="Calibri" w:hAnsi="Calibri"/>
          <w:b/>
          <w:color w:val="6E8450"/>
          <w:sz w:val="18"/>
        </w:rPr>
        <w:t>DIVIDEND SLEEVE · 2026-10-19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International Business Machines Corporation provides integrated hybrid cloud and AI solutions through four segments: Software (hybrid cloud/AI platforms including watsonx and Red Hat), Consulting (business transformation and AI-powered implementation services), Infrastructure (IBM Z mainframes, Power, and storage), and Financing. IBM has repositioned itself over the past several years around hybrid cloud and enterprise AI, anchored by the Red Hat acquisition, the 2021 Kyndryl spinoff, and the 2025 HashiCorp acquisition. Q1 2026 revenue grew 6% with consulting reaching $5.27B, but Q2 weakened with guidance cut to 4-5% full-year constant-currency growth, driven largely by a 42% drop in IBM Z mainframe revenue in the product cycle trough [1]. The watsonx AI platform generates north of $1.5B growing &gt;40%, though IBM has stopped reporting GenAI book of business as a separate metric as AI becomes embedded across the business.</w:t>
      </w:r>
    </w:p>
    <w:p>
      <w:r>
        <w:rPr>
          <w:rFonts w:ascii="Calibri" w:hAnsi="Calibri"/>
          <w:b/>
          <w:color w:val="6E8450"/>
          <w:sz w:val="18"/>
        </w:rPr>
        <w:t>264,300 Employees · https://www.ibm.com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IBM has executed a multi-year business model transformation from a hardware/services conglomerate into a hybrid cloud and AI software company — the Red Hat acquisition (2019), the Kyndryl spinoff (2021), the Watson Health divestiture (2022), and the $6.4B HashiCorp acquisition (2025) collectively redefined the revenue mix toward higher-margin software, with software now the primary profit driver [1]. AI Deployment (2/2): IBM's generative AI book of business reached $12.5B cumulative (inception-to-date), nearly tripling in calendar 2025, combining watsonx software transactional revenue, SaaS ACV, and AI-related consulting signings [1]. CEO Arvind Krishna has quantified AI risk to only 2% of IBM's software portfolio (citing Tririga as the exposed product), framing the rest as AI-adoption tailwind [2]. Market Share (2/2): IBM holds a near-monopoly position in enterprise mainframes (IBM Z) and Red Hat OpenShift is the leading enterprise Kubernetes/hybrid-cloud platform, giving IBM structural leadership in two category-defining markets [1]. Product Pipeline (1/2): IBM has publicly committed to a fault-tolerant quantum computer (Quantum Starling) targeted for 2029 with specific technical milestones, but broader software/consulting pipeline commentary lacks the same specificity on revenue visibility. R&amp;D Intensity (1/1): IBM spends roughly $6.6B annually on R&amp;D (~9.5% of TTM revenue), above the typical 3-6% range for IT services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IBM's stated values — "dedication to every client's success," "innovation that matters, for our company and the world," and "trust and personal responsibility" — clearly describe the company's orientation but read as corporate-standard language rather than a distinctive, bold cause; the framing is generic relative to peers making similar claims [2]. Community Impact (1/2): IBM's "IBM Impact" ESG framework (Environmental, Equitable, Ethical pillars) and long-running SkillsBuild technical-training program represent genuine but industry-standard corporate philanthropy; no specific dollar figures or reach metrics were confirmed in current research [3]. Employee Retention (1/2): Glassdoor shows Krishna with 76% CEO approval and a 4.8 culture/values score, but longer-tenured employees (2-10+ years) report a less favorable view, and no explicit turnover or average-tenure statistic was found — an average, mixed signal [2]. Insider Buying (0/2): No evidence of net insider buying by IBM executives was identified in current research; the pattern skews toward routine equity-award-related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across 10 weighted metrics (dividend stock). IBM's exceptional ROE of 34.46% and Forward P/E of 17.65x both clear their targets outright (scoring 1.0), and D/E of 188.97% scores 0.48 against the 70%/300% band [4]. Revenue growth is the weak spot — YoY growth of just 1.1% (Q2 2026 was flat amid a 42% IBM Z mainframe decline mid-product-cycle) scores 0.70, and an estimated ~4% 5-year revenue CAGR scores 0.60 [1]. Profit margin of 15.52% scores 0.78 against the 20% target. On dividend quality, IBM is a Dividend Aristocrat with 31 consecutive years of increases and over a century of uninterrupted payments (both capped at 1.0), but the payout ratio of 59.77% is elevated (0.67) and the 5-year dividend growth CAGR of roughly 0.6% — a legacy of the deliberate penny-per-quarter raise strategy since 2020 — is well below the 6% inflation-adjusted target, scoring just 0.10 at 2x weight [4]. Liquidity is not a constraint: ~$1.49B in daily dollar volume (6.4M shares x $232.14) is far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IBM has repeatedly reinvented its business model — mainframes to services to hybrid cloud/AI — with the Red Hat acquisition, Kyndryl spinoff, Watson Health exit, and HashiCorp deal forming a genuine pattern of existential flexibility over the past several years. But the company's stated purpose reads as standard corporate language rather than a bold Just Cause, and mixed Glassdoor sentiment among longer-tenured staff, combined with no evidence of insider conviction buying, tempers the picture. Sinek would credit IBM's willingness to shed legacy businesses in service of the AI/hybrid-cloud thesis, while noting the purpose itself has not yet been proven as a true competitive advantage the way it has for NVDA.</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IBM's articulated purpose around "innovation that matters" is present but reads as broad corporate messaging rather than a distinctive, resilient cause that clearly shapes strategic tradeoffs [2]. It has not been visibly tested through a defining crisis in its current AI-era framing, and the company's century-plus history includes purpose language that has shifted with each strategic era rather than one throughline.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approval of 76% and a 4.8 culture score on Glassdoor point to adequate organizational trust, but longer-tenured employees report more critical views, and IBM has undergone periodic workforce actions in recent years as it reshapes its portfolio — enough to keep this from being a standout high-trust environment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IBM's strategic partnership with OpenAI alongside direct competition with Microsoft, AWS, and Google Cloud in enterprise AI reflects a posture of learning from and collaborating with rivals rather than a pure destroy-the-competitor framing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IBM has fundamentally reinvented itself multiple times in a compressed period — acquiring Red Hat (2019), spinning off the lower-margin Kyndryl managed-infrastructure business (2021), divesting Watson Health (2022), and acquiring HashiCorp (2025) — each pivot trading near-term revenue scale for a higher-margin, AI/hybrid-cloud-focused future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Kyndryl spinoff sacrificed significant revenue scale to sharpen focus on higher-value software and consulting, and IBM has sustained multi-decade investment in quantum computing well ahead of commercial payoff — real examples of prioritizing long-term capability over near-term results, though not yet a dense pattern of repeated costly bets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IBM at $232 with a $219B market cap continues its multi-year pivot to hybrid cloud and AI, with the watsonx platform now generating north of $1.5B in AI revenue growing over 40%, and ROE of 34.46% with Forward P/E of just 17.65x makes IBM one of the cheaper ways to own enterprise AI infrastructure exposure [1][4]. The Red Hat/Kyndryl/HashiCorp portfolio reshaping has concentrated the business around higher-margin software and consulting, and management's claim that only 2% of software faces direct AI substitution risk — with the rest positioned as AI-adoption infrastructure — is a credible, quantified framing that most peers cannot offer [2]. IBM remains a Dividend Aristocrat with 31 consecutive years of increases and over a century of uninterrupted payments, providing a durable income floor while the AI transformation plays out [4].</w:t>
      </w:r>
    </w:p>
    <w:p>
      <w:pPr>
        <w:spacing w:after="120"/>
      </w:pPr>
      <w:r>
        <w:rPr>
          <w:rFonts w:ascii="Calibri" w:hAnsi="Calibri"/>
          <w:b w:val="0"/>
          <w:color w:val="3A4A28"/>
          <w:sz w:val="20"/>
        </w:rPr>
        <w:t>The bear case centers on stalled top-line growth and thin dividend growth. Q2 2026 revenue grew just 1% YoY as IBM Z mainframe revenue fell 42% in the trough of its product cycle, forcing management to cut full-year constant-currency growth guidance to 4-5% from over 5% — a reminder that IBM's Infrastructure segment remains lumpy and cyclical [1]. D/E of 188.97% is well above the 70% target, reflecting a debt load that constrains capital flexibility even as free cash flow supports the dividend. The 5-year dividend growth CAGR of roughly 0.6% — a legacy of IBM's deliberate penny-per-quarter increase policy since 2020 — is far below the 6% inflation-adjusted bar, meaning income investors are effectively getting a flat real payout even as the stock is marketed on Aristocrat status [4]. The Consulting segment, while currently framed as an AI beneficiary, carries genuine medium-term exposure to agentic AI automating the implementation and staff-augmentation work that underpins a meaningful share of that revenue — a risk that is easy to underweight while it remains early-stage.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book of business (already $12.5B cumulative, nearly tripling in 2025) continuing to scale as watsonx and AI-related consulting signings convert into recognized software and services revenue [1]</w:t>
      </w:r>
    </w:p>
    <w:p>
      <w:pPr>
        <w:spacing w:before="40" w:after="40"/>
        <w:ind w:left="283"/>
      </w:pPr>
      <w:r>
        <w:rPr>
          <w:rFonts w:ascii="Calibri" w:hAnsi="Calibri"/>
          <w:b/>
          <w:color w:val="4A6B25"/>
          <w:sz w:val="20"/>
        </w:rPr>
        <w:t xml:space="preserve">2. </w:t>
      </w:r>
      <w:r>
        <w:rPr>
          <w:rFonts w:ascii="Calibri" w:hAnsi="Calibri"/>
          <w:b w:val="0"/>
          <w:color w:val="3A4A28"/>
          <w:sz w:val="20"/>
        </w:rPr>
        <w:t>IBM Z mainframe cycle turning from the current 42% YoY decline toward the next hardware refresh, which has historically driven step-function Infrastructure segment revenue and margin recoveries [1]</w:t>
      </w:r>
    </w:p>
    <w:p>
      <w:pPr>
        <w:spacing w:before="40" w:after="40"/>
        <w:ind w:left="283"/>
      </w:pPr>
      <w:r>
        <w:rPr>
          <w:rFonts w:ascii="Calibri" w:hAnsi="Calibri"/>
          <w:b/>
          <w:color w:val="4A6B25"/>
          <w:sz w:val="20"/>
        </w:rPr>
        <w:t xml:space="preserve">3. </w:t>
      </w:r>
      <w:r>
        <w:rPr>
          <w:rFonts w:ascii="Calibri" w:hAnsi="Calibri"/>
          <w:b w:val="0"/>
          <w:color w:val="3A4A28"/>
          <w:sz w:val="20"/>
        </w:rPr>
        <w:t>Continued integration of HashiCorp (2025) and Red Hat deepening the hybrid-cloud/infrastructure-automation stack, reinforcing switching costs for enterprise clients standardizing on IBM's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Consulting segment exposure to agentic AI automating implementation and staff-augmentation work over the next several years, which could compress the margin structure of IBM's largest people-intensive revenue line [2]</w:t>
      </w:r>
    </w:p>
    <w:p>
      <w:pPr>
        <w:spacing w:before="40" w:after="40"/>
        <w:ind w:left="283"/>
      </w:pPr>
      <w:r>
        <w:rPr>
          <w:rFonts w:ascii="Calibri" w:hAnsi="Calibri"/>
          <w:b/>
          <w:color w:val="4A6B25"/>
          <w:sz w:val="20"/>
        </w:rPr>
        <w:t xml:space="preserve">2. </w:t>
      </w:r>
      <w:r>
        <w:rPr>
          <w:rFonts w:ascii="Calibri" w:hAnsi="Calibri"/>
          <w:b w:val="0"/>
          <w:color w:val="3A4A28"/>
          <w:sz w:val="20"/>
        </w:rPr>
        <w:t>IBM Z mainframe cyclicality remains a swing factor for total company growth — the 42% Q2 2026 decline shows how quickly Infrastructure segment weakness can offset Software segment strength and force guidance cuts [1]</w:t>
      </w:r>
    </w:p>
    <w:p>
      <w:pPr>
        <w:spacing w:before="40" w:after="40"/>
        <w:ind w:left="283"/>
      </w:pPr>
      <w:r>
        <w:rPr>
          <w:rFonts w:ascii="Calibri" w:hAnsi="Calibri"/>
          <w:b/>
          <w:color w:val="4A6B25"/>
          <w:sz w:val="20"/>
        </w:rPr>
        <w:t xml:space="preserve">3. </w:t>
      </w:r>
      <w:r>
        <w:rPr>
          <w:rFonts w:ascii="Calibri" w:hAnsi="Calibri"/>
          <w:b w:val="0"/>
          <w:color w:val="3A4A28"/>
          <w:sz w:val="20"/>
        </w:rPr>
        <w:t>D/E of 188.97% and a 5-year dividend growth CAGR of only ~0.6% signal a company prioritizing balance-sheet and buyback flexibility over real income growth for Aristocrat-status dividend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IBM's infrastructure (IBM Z mainframes) and much of its software are structurally protected — regulated, mission-critical enterprise workloads that AI cannot substitute — and CEO Krishna has publicly quantified only 2% of IBM's software portfolio as directly exposed to AI-native replacement, framing the rest of the software estate as infrastructure that benefits from enterprise AI adoption [2]. However, the large Consulting segment (a major share of revenue) carries real medium-term exposure as agentic AI tools increasingly automate the coding, testing, and implementation work that underpins staff-augmentation-style professional services revenue — a risk broadly flagged across the IT services sector, not unique to IBM but real for it. AI Opportunity (1/1): The generative AI book of business reached $12.5B cumulative and nearly tripled in calendar 2025, a specific, quantified, and growing AI revenue stream spanning watsonx software and AI-related consulting signings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IBM Q1 &amp; Q2 FY2026 Earnings Releases and 8-K filings — Q1 revenue $15.9B (+9.5%), Q2 revenue $17.2B (+1%), FY2026 constant-currency guidance cut to 4-5%, IBM Z revenue -42% in Q2, generative AI book of business $12.5B cumulative, January-July 2026</w:t>
      </w:r>
    </w:p>
    <w:p>
      <w:pPr>
        <w:spacing w:before="20" w:after="20"/>
        <w:ind w:left="170"/>
      </w:pPr>
      <w:r>
        <w:rPr>
          <w:rFonts w:ascii="Calibri" w:hAnsi="Calibri"/>
          <w:b/>
          <w:color w:val="4A6B25"/>
          <w:sz w:val="15"/>
        </w:rPr>
        <w:t xml:space="preserve">2. </w:t>
      </w:r>
      <w:r>
        <w:rPr>
          <w:rFonts w:ascii="Calibri" w:hAnsi="Calibri"/>
          <w:b w:val="0"/>
          <w:color w:val="3A4A28"/>
          <w:sz w:val="17"/>
        </w:rPr>
        <w:t>IBM AI strategy and leadership — CEO Arvind Krishna comments on AI risk (2% of software exposed, Tririga cited), Glassdoor CEO approval 76%/culture 4.8, TheStreet/CNBC/Time coverage, 2026</w:t>
      </w:r>
    </w:p>
    <w:p>
      <w:pPr>
        <w:spacing w:before="20" w:after="20"/>
        <w:ind w:left="170"/>
      </w:pPr>
      <w:r>
        <w:rPr>
          <w:rFonts w:ascii="Calibri" w:hAnsi="Calibri"/>
          <w:b/>
          <w:color w:val="4A6B25"/>
          <w:sz w:val="15"/>
        </w:rPr>
        <w:t xml:space="preserve">3. </w:t>
      </w:r>
      <w:r>
        <w:rPr>
          <w:rFonts w:ascii="Calibri" w:hAnsi="Calibri"/>
          <w:b w:val="0"/>
          <w:color w:val="3A4A28"/>
          <w:sz w:val="17"/>
        </w:rPr>
        <w:t>IBM ESG — IBM Impact framework (Environmental/Equitable/Ethical pillars), SkillsBuild technical training program, lawsuit over Black executive layoffs testing governance disclosure, Yahoo Finance,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SEC filings — IBM key statistics: stock price $234.19, forward P/E 17.79x, trailing PEG 2.41, ROE 34.46%, D/E 188.97%, dividend yield 2.89%, 31 consecutive years of dividend growth,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