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IBN</w:t>
      </w:r>
      <w:r>
        <w:rPr>
          <w:rFonts w:ascii="Calibri" w:hAnsi="Calibri"/>
          <w:b/>
          <w:color w:val="1A2010"/>
          <w:sz w:val="40"/>
        </w:rPr>
        <w:t xml:space="preserve">  ICICI Bank Limited</w:t>
      </w:r>
    </w:p>
    <w:p>
      <w:pPr>
        <w:spacing w:after="120"/>
      </w:pPr>
      <w:r>
        <w:rPr>
          <w:rFonts w:ascii="Calibri" w:hAnsi="Calibri"/>
          <w:b/>
          <w:color w:val="6E8450"/>
          <w:sz w:val="18"/>
        </w:rPr>
        <w:t>GROWTH SLEEVE · 2026-10-15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Regional · NYSE · India</w:t>
      </w:r>
    </w:p>
    <w:p>
      <w:pPr>
        <w:spacing w:after="80"/>
      </w:pPr>
      <w:r>
        <w:rPr>
          <w:rFonts w:ascii="Calibri" w:hAnsi="Calibri"/>
          <w:b w:val="0"/>
          <w:color w:val="3A4A28"/>
          <w:sz w:val="20"/>
        </w:rPr>
        <w:t>ICICI Bank Limited is India's second-largest private sector bank by assets, offering retail banking, corporate banking, treasury operations, and insurance through subsidiaries. Headquartered in Mumbai, the bank serves over 60 million customers through approximately 6,000 branches and 17,000 ATMs. In Q4 FY2026 (March 2026), the bank reported net interest income of Rs 229.79B (+8.4% YoY) and standalone profit after tax of Rs 137.02B (+8.5% YoY), with the June 2026 quarter showing consolidated net profit of Rs 15,440 crore (+13.88% YoY) [2][3]. The ADR trades on NYSE at approximately $28.27 with a market cap of $101.5B.</w:t>
      </w:r>
    </w:p>
    <w:p>
      <w:r>
        <w:rPr>
          <w:rFonts w:ascii="Calibri" w:hAnsi="Calibri"/>
          <w:b/>
          <w:color w:val="6E8450"/>
          <w:sz w:val="18"/>
        </w:rPr>
        <w:t>150,000 Employees · https://www.icicibank.com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Under CEO Sandeep Bakhshi since October 2018, ICICI Bank executed a transformative turnaround from the governance crisis of the Chanda Kochhar era — cleaning up the NPA book, pivoting to retail banking dominance, and rebuilding the institution around a 'One Bank, One Team, One Goal' philosophy that fundamentally changed the bank's risk culture and revenue profile [4]. This strategic pivot from corporate-heavy lending to a balanced retail-corporate model opened significant new revenue streams and improved asset quality. AI Deployment (1/2): The bank has been pursuing 'reimagining banking and leveraging digital capabilities' with digital platform modernization, mobile banking enhancements, and AI-assisted customer service tools, though no specific quantified AI-driven cost savings or revenue figures have been publicly disclosed [4]. Market Share (1/2): ICICI Bank is India's second-largest private sector bank by assets, a meaningful position in one of the world's fastest-growing banking markets, but trails HDFC Bank for the leadership position. Product Pipeline (0/2): No specific next-generation product announcements with defined timelines or revenue visibility. R&amp;D Intensity (0/1): Banks do not report R&amp;D spending as a separate line item; no evidence of above-average technology investment relative to Indian banking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ICICI Bank's purpose centers on 'fair, transparent, and ethical banking practices' with the tagline 'One Bank, One Team, One Goal' — clear and identifies what the bank does and for whom, but does not articulate a deeper purpose beyond responsible banking that differentiates from peers like HDFC Bank or SBI [4]. The mission connects the bank's work to financial inclusion but reads as operational philosophy rather than transformative vision. Community &amp; Charitable Impact (1/2): ICICI Bank operates the ICICI Foundation, which focuses on skill development, livelihoods, and financial literacy programs across rural India. The bank has committed to environmental sustainability through its Social and Environmental Management Framework for screening project finance proposals [5]. However, specific dollar amounts for community investment were not found in available materials. Employee Retention &amp; Tenure (1/2): Under Bakhshi's leadership, the bank has pursued an HR agenda emphasizing role-based leadership and employee empowerment — 'Team members are being empowered to take decisions' — with reduced hierarchies and a collaborative culture [4]. Average retention for the industry; no standout data on voluntary turnover or average tenure found. Insider Buying (0/2): No evidence of meaningful insider buying by CEO Bakhshi or other executives on the ADR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with D/E excluded (null for banks as deposits distort this metric) and Revenue Growth 5yr CAGR excluded (unavailable). ROE of 16.1% exceeds the 15% target (score 1.0, 2x weight), reflecting solid capital efficiency for a large-scale banking franchise [1]. Revenue growth of 11.4% YoY surpasses the 10% target (score 1.0), with Q4 FY2026 NII up 8.4% and Q1 FY2027 consolidated profit up 13.88% [2][3]. Forward P/E of 15.1 is well below the 20 target (score 1.0), indicating attractive valuation for a top-tier Indian bank with double-digit earnings growth. Profit margin of 27.5% exceeds the 20% target (score 1.0), reflecting strong net interest margins and operational efficiency. Estimated Forward PEG of approximately 1.1 (forward P/E 15.1 / earnings growth 13.8%) is near the 1.0 target (score 0.95, 2x weight). Daily dollar volume of approximately $147.5M provides ample liquidity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ICICI Bank under Sandeep Bakhshi demonstrates a meaningful shift from finite to infinite thinking — the turnaround from the Kochhar governance crisis required genuine courage and cultural transformation, and the 'One Bank' philosophy reflects a more enduring organizational vision. However, the bank's competitive language still focuses on growth metrics and market share gains rather than a deeper Just Cause, and its purpose statement, while clear, does not reach the level of a transformative vision that Sinek would cite as exemplary.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ICICI Bank's purpose centers on responsible, transparent banking and financial inclusion, but this reads as a well-crafted operational philosophy rather than a Just Cause in Sinek's framework. 'One Bank, One Team, One Goal' is a unifying internal tagline that shaped the post-Kochhar cultural rebuild, but it describes how the organization works rather than a vision of a future state worth sacrificing for [4]. The bank has not articulated an enduring purpose that transcends its banking operations or inspires beyond its industry norms.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Under Bakhshi, ICICI Bank rebuilt its organizational culture with a role-based leadership structure intended to reduce hierarchies, empower frontline employees, and foster collaboration — 'Team members are being empowered to take decisions' within risk guardrails [4]. Bakhshi's 8+ year tenure has provided leadership stability after the turbulence of the Kochhar exit, and the bank's deliberate cultural transformation suggests adequate trust. However, no specific voluntary turnover data, employee satisfaction surveys, or average tenure statistics distinguish ICICI from Indian banking industry norms.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ICICI Bank operates alongside HDFC Bank, India's largest private bank, and management consistently uses HDFC Bank's operational excellence and asset quality as a benchmark for self-improvement rather than a competitor to destroy. The competitive dynamic has pushed ICICI to improve retail banking capabilities, digital offerings, and risk management practices, reflecting an infinite mindset where rivalry drives internal improvement [4].</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ICICI Bank has evolved meaningfully over the past two decades — from aggressive corporate lending in the 2000s to a balanced retail-corporate model under Bakhshi, and from branch-heavy distribution to a digitally-enabled hybrid model. The post-Kochhar pivot required walking away from the aggressive growth-at-any-cost strategy and rebuilding around disciplined risk management, which was an incremental but meaningful strategic adaptation [4]. Falls short of a 2 because the changes, while significant, were reactive corrections rather than proactive transformative reinventions driven by a Just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Bakhshi demonstrated courage by taking over during ICICI Bank's deepest governance crisis (Chanda Kochhar's departure amid conflict-of-interest allegations in 2018) and prioritizing NPA cleanup and risk management over short-term earnings growth [4]. He sacrificed headline growth metrics to rebuild the bank's credit quality and reputation, which was costly in the near term but essential for long-term sustainability. This represents at least one clear example of leadership choosing long-term capability over short-term performance.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ICICI Bank at $28.27 with a $101.5B market cap is India's second-largest private sector bank delivering steady double-digit earnings growth at an attractive valuation. Q4 FY2026 standalone PAT grew 8.5% YoY to Rs 137.02B with NII of Rs 229.79B, followed by the June 2026 quarter showing consolidated net profit up 13.88% to Rs 15,440 crore [2][3]. The bank trades at 15.1x forward earnings with a PEG ratio of approximately 1.1, offering compelling value for a franchise with 16.1% ROE, 27.5% profit margin, and exposure to India's structural banking growth story driven by rising credit penetration, digital payments adoption, and financial inclusion of 1.4 billion people [1]. Under CEO Sandeep Bakhshi's disciplined leadership since 2018, asset quality has stabilized and the retail banking franchise has strengthened.</w:t>
      </w:r>
    </w:p>
    <w:p>
      <w:pPr>
        <w:spacing w:after="120"/>
      </w:pPr>
      <w:r>
        <w:rPr>
          <w:rFonts w:ascii="Calibri" w:hAnsi="Calibri"/>
          <w:b w:val="0"/>
          <w:color w:val="3A4A28"/>
          <w:sz w:val="20"/>
        </w:rPr>
        <w:t>The bear case centers on India macro risks and structural banking sector challenges. ICICI Bank's earnings growth has decelerated from mid-teens to high single digits in Q4 FY2026, and operating expenses rose 12% YoY, outpacing revenue growth and pressuring the cost-to-income ratio [2]. The Indian banking sector faces rising credit costs as the benign NPA cycle normalizes, and any deterioration in asset quality could compress ROE from its current healthy but not exceptional 16.1% level. Geopolitical risks including India-Pakistan tensions, global trade disruptions, and rupee depreciation could impact the macro environment. The ADR introduces additional currency risk as INR movements affect dollar-denominated returns. Competition from HDFC Bank (the clear market leader), SBI, and fintech challengers creates persistent pressure on margins and fee income. CEO Bakhshi's reappointment status beyond October 2026 introduces near-term succession uncertainty for a leader who has been instrumental in the bank's transformation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India's structural banking growth — credit penetration at approximately 55% of GDP versus 150%+ in developed markets creates a multi-decade runway for loan book expansion, particularly in retail, MSME, and rural segments [1]</w:t>
      </w:r>
    </w:p>
    <w:p>
      <w:pPr>
        <w:spacing w:before="40" w:after="40"/>
        <w:ind w:left="283"/>
      </w:pPr>
      <w:r>
        <w:rPr>
          <w:rFonts w:ascii="Calibri" w:hAnsi="Calibri"/>
          <w:b/>
          <w:color w:val="4A6B25"/>
          <w:sz w:val="20"/>
        </w:rPr>
        <w:t xml:space="preserve">2. </w:t>
      </w:r>
      <w:r>
        <w:rPr>
          <w:rFonts w:ascii="Calibri" w:hAnsi="Calibri"/>
          <w:b w:val="0"/>
          <w:color w:val="3A4A28"/>
          <w:sz w:val="20"/>
        </w:rPr>
        <w:t>Digital payments ecosystem expansion through UPI, ICICI's mobile banking platform iMobile Pay, and digital lending capabilities positions the bank to capture share in India's rapidly digitalizing financial services market</w:t>
      </w:r>
    </w:p>
    <w:p>
      <w:pPr>
        <w:spacing w:before="40" w:after="40"/>
        <w:ind w:left="283"/>
      </w:pPr>
      <w:r>
        <w:rPr>
          <w:rFonts w:ascii="Calibri" w:hAnsi="Calibri"/>
          <w:b/>
          <w:color w:val="4A6B25"/>
          <w:sz w:val="20"/>
        </w:rPr>
        <w:t xml:space="preserve">3. </w:t>
      </w:r>
      <w:r>
        <w:rPr>
          <w:rFonts w:ascii="Calibri" w:hAnsi="Calibri"/>
          <w:b w:val="0"/>
          <w:color w:val="3A4A28"/>
          <w:sz w:val="20"/>
        </w:rPr>
        <w:t>Attractive valuation at 15.1x forward P/E with a PEG of approximately 1.1 offers a margin of safety versus global banking peers and India technology stocks trading at 30-50x forward earnings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Earnings growth deceleration from mid-teens to 8-9% in Q4 FY2026 with operating expenses growing faster than revenue at 12% YoY signals potential margin pressure as the benign credit cycle normalizes [2]</w:t>
      </w:r>
    </w:p>
    <w:p>
      <w:pPr>
        <w:spacing w:before="40" w:after="40"/>
        <w:ind w:left="283"/>
      </w:pPr>
      <w:r>
        <w:rPr>
          <w:rFonts w:ascii="Calibri" w:hAnsi="Calibri"/>
          <w:b/>
          <w:color w:val="4A6B25"/>
          <w:sz w:val="20"/>
        </w:rPr>
        <w:t xml:space="preserve">2. </w:t>
      </w:r>
      <w:r>
        <w:rPr>
          <w:rFonts w:ascii="Calibri" w:hAnsi="Calibri"/>
          <w:b w:val="0"/>
          <w:color w:val="3A4A28"/>
          <w:sz w:val="20"/>
        </w:rPr>
        <w:t>Currency risk for ADR investors — rupee depreciation against the dollar can erode returns even as rupee-denominated earnings grow, with INR having depreciated approximately 15% against USD over the past 5 years</w:t>
      </w:r>
    </w:p>
    <w:p>
      <w:pPr>
        <w:spacing w:before="40" w:after="40"/>
        <w:ind w:left="283"/>
      </w:pPr>
      <w:r>
        <w:rPr>
          <w:rFonts w:ascii="Calibri" w:hAnsi="Calibri"/>
          <w:b/>
          <w:color w:val="4A6B25"/>
          <w:sz w:val="20"/>
        </w:rPr>
        <w:t xml:space="preserve">3. </w:t>
      </w:r>
      <w:r>
        <w:rPr>
          <w:rFonts w:ascii="Calibri" w:hAnsi="Calibri"/>
          <w:b w:val="0"/>
          <w:color w:val="3A4A28"/>
          <w:sz w:val="20"/>
        </w:rPr>
        <w:t>Leadership succession uncertainty as CEO Bakhshi's tenure approaches renewal decisions — the architect of the post-Kochhar transformation's departure could disrupt the strategic continuity that has rebuilt institutional credibility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ICICI Bank's core business is structurally protected from AI disruption by multiple defensive moats — stringent RBI regulatory requirements that fintech competitors must also meet, high switching costs for banking customers with deposits, loans, and credit relationships, physical branch infrastructure serving 60+ million customers, and proprietary data on decades of customer transactions and credit history [1][4]. AI-powered fintechs have not displaced large Indian banks; instead, they've become complementary through UPI and partnerships. However, scoring PROTECTED rather than IMMUNE because AI-driven lending platforms, automated wealth management (robo-advisors), and digital-only banks could pressure specific fee-income lines and force continued technology investment to maintain competitive positioning. AI Opportunity (0/1): No quantifiable AI-related revenue disclosed. The bank deploys digital tools and automation internally but has not reported specific AI-driven revenue streams or cost savings with dollar figures.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Yahoo Finance — IBN key statistics and financial data, accessed October 2026</w:t>
      </w:r>
    </w:p>
    <w:p>
      <w:pPr>
        <w:spacing w:before="20" w:after="20"/>
        <w:ind w:left="170"/>
      </w:pPr>
      <w:r>
        <w:rPr>
          <w:rFonts w:ascii="Calibri" w:hAnsi="Calibri"/>
          <w:b/>
          <w:color w:val="4A6B25"/>
          <w:sz w:val="15"/>
        </w:rPr>
        <w:t xml:space="preserve">2. </w:t>
      </w:r>
      <w:r>
        <w:rPr>
          <w:rFonts w:ascii="Calibri" w:hAnsi="Calibri"/>
          <w:b w:val="0"/>
          <w:color w:val="3A4A28"/>
          <w:sz w:val="17"/>
        </w:rPr>
        <w:t>ICICI Bank Q4 FY2026 Earnings — NII Rs 229.79B (+8.4% YoY), PAT Rs 137.02B (+8.5% YoY), Operating Expenses +12% YoY — Yahoo Finance/GuruFocus, April 2026</w:t>
      </w:r>
    </w:p>
    <w:p>
      <w:pPr>
        <w:spacing w:before="20" w:after="20"/>
        <w:ind w:left="170"/>
      </w:pPr>
      <w:r>
        <w:rPr>
          <w:rFonts w:ascii="Calibri" w:hAnsi="Calibri"/>
          <w:b/>
          <w:color w:val="4A6B25"/>
          <w:sz w:val="15"/>
        </w:rPr>
        <w:t xml:space="preserve">3. </w:t>
      </w:r>
      <w:r>
        <w:rPr>
          <w:rFonts w:ascii="Calibri" w:hAnsi="Calibri"/>
          <w:b w:val="0"/>
          <w:color w:val="3A4A28"/>
          <w:sz w:val="17"/>
        </w:rPr>
        <w:t>ICICI Bank Q1 FY2027 (June 2026) — Consolidated Net Profit Rs 15,440 crore (+13.88% YoY), Operating Income Rs 52,240 crore (+6.44% YoY) — Swastika/Kotak Neo, July 2026</w:t>
      </w:r>
    </w:p>
    <w:p>
      <w:pPr>
        <w:spacing w:before="20" w:after="20"/>
        <w:ind w:left="170"/>
      </w:pPr>
      <w:r>
        <w:rPr>
          <w:rFonts w:ascii="Calibri" w:hAnsi="Calibri"/>
          <w:b/>
          <w:color w:val="4A6B25"/>
          <w:sz w:val="15"/>
        </w:rPr>
        <w:t xml:space="preserve">4. </w:t>
      </w:r>
      <w:r>
        <w:rPr>
          <w:rFonts w:ascii="Calibri" w:hAnsi="Calibri"/>
          <w:b w:val="0"/>
          <w:color w:val="3A4A28"/>
          <w:sz w:val="17"/>
        </w:rPr>
        <w:t>Sandeep Bakhshi Leadership and ICICI Bank Cultural Transformation — Human Capital Online, Business Today, Indiaspora, 2018-2026</w:t>
      </w:r>
    </w:p>
    <w:p>
      <w:pPr>
        <w:spacing w:before="20" w:after="20"/>
        <w:ind w:left="170"/>
      </w:pPr>
      <w:r>
        <w:rPr>
          <w:rFonts w:ascii="Calibri" w:hAnsi="Calibri"/>
          <w:b/>
          <w:color w:val="4A6B25"/>
          <w:sz w:val="15"/>
        </w:rPr>
        <w:t xml:space="preserve">5. </w:t>
      </w:r>
      <w:r>
        <w:rPr>
          <w:rFonts w:ascii="Calibri" w:hAnsi="Calibri"/>
          <w:b w:val="0"/>
          <w:color w:val="3A4A28"/>
          <w:sz w:val="17"/>
        </w:rPr>
        <w:t>ICICI Bank ESG Policy, SEMF Framework, and Sustainability Reports — ICICI Bank Annual Reports 2022-2025, SEC Form 6-K FY2026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