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IEP</w:t>
      </w:r>
      <w:r>
        <w:rPr>
          <w:rFonts w:ascii="Calibri" w:hAnsi="Calibri"/>
          <w:b/>
          <w:color w:val="1A2010"/>
          <w:sz w:val="40"/>
        </w:rPr>
        <w:t xml:space="preserve">  Icahn Enterprises L.P.</w:t>
      </w:r>
    </w:p>
    <w:p>
      <w:pPr>
        <w:spacing w:after="120"/>
      </w:pPr>
      <w:r>
        <w:rPr>
          <w:rFonts w:ascii="Calibri" w:hAnsi="Calibri"/>
          <w:b/>
          <w:color w:val="6E8450"/>
          <w:sz w:val="18"/>
        </w:rPr>
        <w:t>DIVIDEND SLEEVE · 2026-09-29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NASDAQ · United States</w:t>
      </w:r>
    </w:p>
    <w:p>
      <w:pPr>
        <w:spacing w:after="80"/>
      </w:pPr>
      <w:r>
        <w:rPr>
          <w:rFonts w:ascii="Calibri" w:hAnsi="Calibri"/>
          <w:b w:val="0"/>
          <w:color w:val="3A4A28"/>
          <w:sz w:val="20"/>
        </w:rPr>
        <w:t>Icahn Enterprises L.P. is a diversified holding company controlled by activist investor Carl Icahn, operating through Investment, Energy (CVR Energy — petroleum refining, renewable fuels, nitrogen fertilizers), Food Packaging, Real Estate, Home Fashion, and Pharma segments. The Automotive segment (Pep Boys) was sold for $700M in mid-2026. Listed as a limited partnership on NASDAQ, IEP reported Q2 2026 revenue of $2.98B (up from $2.37B YoY) with a net loss of $355M ($0.52/unit). The partnership maintains a $2.00 annual distribution ($0.50/quarter), down 75% from $8.00 in 2022.</w:t>
      </w:r>
    </w:p>
    <w:p>
      <w:r>
        <w:rPr>
          <w:rFonts w:ascii="Calibri" w:hAnsi="Calibri"/>
          <w:b/>
          <w:color w:val="6E8450"/>
          <w:sz w:val="18"/>
        </w:rPr>
        <w:t>13,562 Employees · https://www.ielp.com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Icahn Enterprises has not launched any meaningful new products or executed transformative pivots. The business portfolio has contracted — Pep Boys was sold for $700M in mid-2026, and CVR Energy's value declined $435M in Q2 2026 alone [1][2]. The Investment Funds segment generates persistent net losses from broad market hedging positions. AI Deployment (0/2): No AI deployment or strategy evident across any portfolio company. IEP is a financial holding company focused on activist investing, not technology deployment. Market Share (1/2): CVR Energy maintains meaningful refining capacity and nitrogen fertilizer production in the mid-continent region, though not as a category leader [1]. Product Pipeline (0/2): No next-generation products or pipeline visibility. IEP's strategy is acquisition and activist investing, not product development. R&amp;D Intensity (1/1): Not applicable traditionally, but CVR Energy maintains standard refining R&amp;D and renewable diesel operations (soybean oil, corn oil feedstocks). Scored charitably.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Icahn Enterprises does not articulate a mission beyond value creation for unitholders through activist investing. Carl Icahn's philosophy of 'unlocking value in underperforming companies' is a financial objective, not a purpose-driven mission — it is interchangeable with any activist fund [3]. Community Impact (0/2): No evidence of charitable programs, foundation, or community investment tied to Icahn Enterprises. Carl Icahn's personal philanthropy (Icahn School of Medicine at Mount Sinai) is separate from IEP operations. Employee Retention (1/2): The CFO-to-CEO promotion of Ted Papapostolou (May 2026) suggests some leadership continuity, though the workforce shrank from ~19,600 to 13,562 following the Pep Boys divestiture [3]. Insider Buying (1/2): Carl Icahn controls approximately 85% of IEP units, representing massive insider ownership. However, the SEC 2024 settlement revealed he had pledged 51-82% of his shares as collateral for up to $5B in personal loans without disclosure — a significant governance concern that undermines the conviction signal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D/E of 318.7% exceeds the 300% floor (score 0.0), reflecting $6.84B debt against ~$2.1B equity — improved from 443% in prior period likely due to the Pep Boys sale proceeds [5]. ROE of -17.8% is below the 0% floor (score 0.0), reflecting persistent net losses ($355M in Q2 2026 and $459M in Q1 2026) [1][2]. Revenue growth of 25.7% YoY exceeds the 10% target (score 1.0), driven by energy segment commodity recovery. Forward P/E of 8.48 is well below the 20 target (score 1.0), suggesting the market prices in recovery [5]. Profit margin of -4.96% is below the 0% floor (score 0.0) [5]. 5-year revenue CAGR of approximately -4.4% sits near the -5% floor (score 0.04). Dividend metrics: consecutive years paid ~20+ (score 1.0, 2× weight), but consecutive years growth = 0 (score 0.0) and 5-year dividend growth CAGR of approximately -37% (score 0.0, 2× weight) after cuts from $8.00 to $2.00/year. Daily dollar volume of ~$6.6M passes the liquidity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Icahn Enterprises is a textbook finite game player. The entire enterprise exists to extract value through activist campaigns, financial engineering, and operational pressure. Carl Icahn's approach — taking positions, forcing board changes, demanding buybacks and dividends — is the definition of playing to win this quarter. The repeated dividend cuts from $8 to $2 annually, the SEC settlement over undisclosed share pledges, and persistent net losses while maintaining distributions reflect short-term financial optimization over long-term capability building.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Icahn Enterprises has no Just Cause. The company exists to 'unlock shareholder value' through activist investing — a purely financial objective that describes no future state beyond profit [3]. Carl Icahn's philosophy, while intellectually rigorous, is about extracting value from underperforming companies, not advancing a vision of a better future. There is no resilient, inclusive, service-oriented purpose that extends beyond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internal promotion of Ted Papapostolou from CFO to CEO (May 2026) suggests some organizational stability within the holding company, and executives appear to have long tenures within the Icahn ecosystem [3]. However, the activist model inherently creates adversarial dynamics — IEP's approach to portfolio companies involves replacing management, cutting costs, and forcing strategic changes, which is antithetical to Sinek's Circle of Safety. Workforce reduction from ~19,600 to 13,562 following Pep Boys sale reflects contraction, not team-building.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Icahn's competitive language is exclusively about 'winning' — defeating incumbent management, forcing changes, outmaneuvering other investors. His public feuds with Bill Ackman and his dismissal of Hindenburg Research as issuing 'knowingly false reports' reflect a combative, zero-sum competitive mindset [4]. No evidence of acknowledging rivals' strengths or using competition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IEP has not demonstrated transformative strategic pivots. The company has been a diversified holding company running the same activist investing playbook for decades. Portfolio changes (selling Pep Boys, adjusting energy exposure) are incremental asset management decisions, not existential reinvention [1][2]. The core strategy of leveraged concentrated positions and activist pressure has remained unchanged despite persistent losses.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decisions have consistently prioritized short-term financial outcomes. The company maintained unsustainably high distributions ($8/year) while generating losses, then was forced to cut dividends 75% over two years — reactive rather than courageous [2]. Carl Icahn pledged 51-82% of IEP units for personal loans without disclosure, prioritizing personal financial needs over unitholder transparency [4]. At age ~90, Icahn's succession planning remains the defining governance question, and the transition to CEO Papapostolou has not been tested by a market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Icahn Enterprises trades at $6.87 with a 29.1% dividend yield ($2.00/year), the lowest unit price in years, and forward P/E of 8.48 suggests the market prices in earnings recovery [5]. Q2 2026 revenue of $2.98B grew 26% YoY, the Pep Boys sale for $700M provides deleveraging capacity, and CVR Energy's refining and nitrogen fertilizer operations generate real cash flows tied to physical infrastructure [1][2]. D/E improved from 443% to 319%, indicating balance sheet progress. For income-focused investors, the 29% yield offers extraordinary current income if the distribution is maintained.</w:t>
      </w:r>
    </w:p>
    <w:p>
      <w:pPr>
        <w:spacing w:after="120"/>
      </w:pPr>
      <w:r>
        <w:rPr>
          <w:rFonts w:ascii="Calibri" w:hAnsi="Calibri"/>
          <w:b w:val="0"/>
          <w:color w:val="3A4A28"/>
          <w:sz w:val="20"/>
        </w:rPr>
        <w:t>The bear case remains formidable. IEP reported a $355M net loss in Q2 2026 and $459M in Q1 2026, with H1 2026 losses of $814M [1][2]. The dividend has been cut 75% from $8.00 to $2.00 annually over 2023-2024, and negative earnings (-4.96% profit margin, -17.8% ROE) make even the reduced $2.00 distribution potentially unsustainable. D/E of 319% remains extreme with $6.84B in total debt [5]. The 2024 SEC settlement ($2M combined penalties) over undisclosed share pledges damaged governance credibility [4]. Carl Icahn's age (~90) creates existential succession risk — his departure would remove the activist premium and strategic direction that justifies IEP's structure. Five-year revenue CAGR of -4.4% and persistent Investment Funds losses suggest secular value destruction. WATCH only for investors with high risk tolerance seeking yield.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Pep Boys $700M sale proceeds applied to debt reduction could meaningfully lower the 319% D/E ratio and reduce interest expense, improving the path to profitability</w:t>
      </w:r>
    </w:p>
    <w:p>
      <w:pPr>
        <w:spacing w:before="40" w:after="40"/>
        <w:ind w:left="283"/>
      </w:pPr>
      <w:r>
        <w:rPr>
          <w:rFonts w:ascii="Calibri" w:hAnsi="Calibri"/>
          <w:b/>
          <w:color w:val="4A6B25"/>
          <w:sz w:val="20"/>
        </w:rPr>
        <w:t xml:space="preserve">2. </w:t>
      </w:r>
      <w:r>
        <w:rPr>
          <w:rFonts w:ascii="Calibri" w:hAnsi="Calibri"/>
          <w:b w:val="0"/>
          <w:color w:val="3A4A28"/>
          <w:sz w:val="20"/>
        </w:rPr>
        <w:t>CVR Energy refining margin recovery if crack spreads widen, potentially driving positive EBITDA contribution from IEP's largest operating segment</w:t>
      </w:r>
    </w:p>
    <w:p>
      <w:pPr>
        <w:spacing w:before="40" w:after="40"/>
        <w:ind w:left="283"/>
      </w:pPr>
      <w:r>
        <w:rPr>
          <w:rFonts w:ascii="Calibri" w:hAnsi="Calibri"/>
          <w:b/>
          <w:color w:val="4A6B25"/>
          <w:sz w:val="20"/>
        </w:rPr>
        <w:t xml:space="preserve">3. </w:t>
      </w:r>
      <w:r>
        <w:rPr>
          <w:rFonts w:ascii="Calibri" w:hAnsi="Calibri"/>
          <w:b w:val="0"/>
          <w:color w:val="3A4A28"/>
          <w:sz w:val="20"/>
        </w:rPr>
        <w:t>Successful activist campaigns in the Investment Funds segment generating realized gains that offset persistent hedging losses from broad market short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sustainability is questionable — $2.00/year distribution on negative EPS and -17.8% ROE suggests further cuts are likely, which would collapse the stock price given the yield-buyer ownership base [1][5]</w:t>
      </w:r>
    </w:p>
    <w:p>
      <w:pPr>
        <w:spacing w:before="40" w:after="40"/>
        <w:ind w:left="283"/>
      </w:pPr>
      <w:r>
        <w:rPr>
          <w:rFonts w:ascii="Calibri" w:hAnsi="Calibri"/>
          <w:b/>
          <w:color w:val="4A6B25"/>
          <w:sz w:val="20"/>
        </w:rPr>
        <w:t xml:space="preserve">2. </w:t>
      </w:r>
      <w:r>
        <w:rPr>
          <w:rFonts w:ascii="Calibri" w:hAnsi="Calibri"/>
          <w:b w:val="0"/>
          <w:color w:val="3A4A28"/>
          <w:sz w:val="20"/>
        </w:rPr>
        <w:t>Carl Icahn succession risk is existential — at approximately age 90, his departure would remove the activist premium and strategic direction, and CEO Papapostolou has not been tested through a market cycle [3]</w:t>
      </w:r>
    </w:p>
    <w:p>
      <w:pPr>
        <w:spacing w:before="40" w:after="40"/>
        <w:ind w:left="283"/>
      </w:pPr>
      <w:r>
        <w:rPr>
          <w:rFonts w:ascii="Calibri" w:hAnsi="Calibri"/>
          <w:b/>
          <w:color w:val="4A6B25"/>
          <w:sz w:val="20"/>
        </w:rPr>
        <w:t xml:space="preserve">3. </w:t>
      </w:r>
      <w:r>
        <w:rPr>
          <w:rFonts w:ascii="Calibri" w:hAnsi="Calibri"/>
          <w:b w:val="0"/>
          <w:color w:val="3A4A28"/>
          <w:sz w:val="20"/>
        </w:rPr>
        <w:t>D/E of 319% with $6.84B in debt creates refinancing risk if credit markets tighten, and the SEC settlement over undisclosed share pledges has damaged institutional investor confidence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Icahn Enterprises operates primarily in physical-world industries — petroleum refining and renewable fuels (CVR Energy), food packaging, real estate, and home fashion. These are tangible, asset-intensive businesses where AI poses virtually no substitution risk [1]. Refining crude oil, manufacturing nitrogen fertilizer, and managing real estate are physical processes AI cannot replace. The Investment segment involves human-driven activist investing where Carl Icahn's decades of relationship-based boardroom influence is not replicable by AI. Scores 7 rather than 8-9 because the investment management function faces some pressure from AI-driven quantitative strategies. AI Opportunity (1/1): CVR Energy can deploy AI for refinery optimization, predictive maintenance, and yield improvement — standard energy sector applications that generate measurable operational savings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Icahn Enterprises Q2 2026 Earnings Release — Revenue $2.98B, Net Loss $355M,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Icahn Enterprises Q1 2026 10-Q Filing — Revenue $2.21B, Net Loss $459M, EPS -$0.71, May 2026</w:t>
      </w:r>
    </w:p>
    <w:p>
      <w:pPr>
        <w:spacing w:before="20" w:after="20"/>
        <w:ind w:left="170"/>
      </w:pPr>
      <w:r>
        <w:rPr>
          <w:rFonts w:ascii="Calibri" w:hAnsi="Calibri"/>
          <w:b/>
          <w:color w:val="4A6B25"/>
          <w:sz w:val="15"/>
        </w:rPr>
        <w:t xml:space="preserve">3. </w:t>
      </w:r>
      <w:r>
        <w:rPr>
          <w:rFonts w:ascii="Calibri" w:hAnsi="Calibri"/>
          <w:b w:val="0"/>
          <w:color w:val="3A4A28"/>
          <w:sz w:val="17"/>
        </w:rPr>
        <w:t>Icahn Enterprises Leadership — Carl Icahn Chairman, Ted Papapostolou promoted CFO to CEO May 2026; corporate website and news releases</w:t>
      </w:r>
    </w:p>
    <w:p>
      <w:pPr>
        <w:spacing w:before="20" w:after="20"/>
        <w:ind w:left="170"/>
      </w:pPr>
      <w:r>
        <w:rPr>
          <w:rFonts w:ascii="Calibri" w:hAnsi="Calibri"/>
          <w:b/>
          <w:color w:val="4A6B25"/>
          <w:sz w:val="15"/>
        </w:rPr>
        <w:t xml:space="preserve">4. </w:t>
      </w:r>
      <w:r>
        <w:rPr>
          <w:rFonts w:ascii="Calibri" w:hAnsi="Calibri"/>
          <w:b w:val="0"/>
          <w:color w:val="3A4A28"/>
          <w:sz w:val="17"/>
        </w:rPr>
        <w:t>SEC Charges Carl Icahn and Icahn Enterprises L.P. — $2M settlement for undisclosed security pledges; Hindenburg Research allegations, SEC Press Release 2024-99</w:t>
      </w:r>
    </w:p>
    <w:p>
      <w:pPr>
        <w:spacing w:before="20" w:after="20"/>
        <w:ind w:left="170"/>
      </w:pPr>
      <w:r>
        <w:rPr>
          <w:rFonts w:ascii="Calibri" w:hAnsi="Calibri"/>
          <w:b/>
          <w:color w:val="4A6B25"/>
          <w:sz w:val="15"/>
        </w:rPr>
        <w:t xml:space="preserve">5. </w:t>
      </w:r>
      <w:r>
        <w:rPr>
          <w:rFonts w:ascii="Calibri" w:hAnsi="Calibri"/>
          <w:b w:val="0"/>
          <w:color w:val="3A4A28"/>
          <w:sz w:val="17"/>
        </w:rPr>
        <w:t>Yahoo Finance — IEP key statistics, D/E 318.7%, ROE -17.8%, Forward P/E 8.48,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