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IGR</w:t>
      </w:r>
      <w:r>
        <w:rPr>
          <w:rFonts w:ascii="Calibri" w:hAnsi="Calibri"/>
          <w:b/>
          <w:color w:val="1A2010"/>
          <w:sz w:val="40"/>
        </w:rPr>
        <w:t xml:space="preserve">  CBRE Global Real Estate Income Fund</w:t>
      </w:r>
    </w:p>
    <w:p>
      <w:pPr>
        <w:spacing w:after="120"/>
      </w:pPr>
      <w:r>
        <w:rPr>
          <w:rFonts w:ascii="Calibri" w:hAnsi="Calibri"/>
          <w:b/>
          <w:color w:val="6E8450"/>
          <w:sz w:val="18"/>
        </w:rPr>
        <w:t>DIVIDEND SLEEVE · 2026-09-28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Closed-End Fund — Global Real Estate · NYSE · United States</w:t>
      </w:r>
    </w:p>
    <w:p>
      <w:pPr>
        <w:spacing w:after="80"/>
      </w:pPr>
      <w:r>
        <w:rPr>
          <w:rFonts w:ascii="Calibri" w:hAnsi="Calibri"/>
          <w:b w:val="0"/>
          <w:color w:val="3A4A28"/>
          <w:sz w:val="20"/>
        </w:rPr>
        <w:t>CBRE Global Real Estate Income Fund (IGR) is an actively managed closed-end fund trading on the NYSE, managed by CBRE Investment Management. The fund's primary objective is high current income with a secondary objective of capital appreciation, achieved through investing globally in income-producing common equity and preferred stocks of real estate companies and REITs. The fund covers property types including office, retail, diversified, apartments, industrials, hotels, healthcare, and storage across North America, Europe, Australia, and Asia. IGR approved a 1-for-3 reverse stock split in August 2026, adjusting the monthly distribution from $0.06 to $0.18 per share (no change in cash flow) [1]. The fund trades at a ~13% discount to NAV ($11.89 vs NAV ~$13.70) with a distribution yield of approximately 18%, though a significant portion is return of capital [3].</w:t>
      </w:r>
    </w:p>
    <w:p>
      <w:r>
        <w:rPr>
          <w:rFonts w:ascii="Calibri" w:hAnsi="Calibri"/>
          <w:b/>
          <w:color w:val="6E8450"/>
          <w:sz w:val="18"/>
        </w:rPr>
        <w:t>https://www.cbreim.com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IGR is a closed-end fund that has operated with the same investment mandate — global real estate income securities — since its 2004 inception. There have been no product launches, business model transformations, or strategic pivots; the fund looks identical to its structure 5 and 10 years ago [2]. AI Deployment (0/2): No AI products or AI-driven investment capabilities were identified. The fund uses fundamental research conducted by CBRE Investment Management's team, with no evidence of AI-driven portfolio management or AI products shipped to investors [2]. Market Share (0/2): IGR is one of many global real estate closed-end funds and ETFs; it holds no category leadership or share differentiation in a crowded real estate income product space [2]. Pipeline (0/2): No product pipeline, next-generation funds, or new investment strategies announced with specific timelines. The fund continues its existing mandate without evolution [2]. R&amp;D Intensity (0/1): Closed-end funds do not conduct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CBRE Investment Management's purpose is to provide investment solutions in real assets — a generic financial services mission interchangeable with any asset manager. The fund's objective of 'high current income and capital appreciation' is a financial objective, not a purpose that inspires beyond generating returns [2]. Community Impact (0/2): No community or charitable programs were identified for this closed-end fund. CBRE Investment Management may have broader corporate philanthropy, but no fund-specific impact was found. Employee Retention (0/2): Not applicable — IGR is a closed-end fund without direct employees. It is managed by CBRE Investment Management's team, for which no retention data was identified. Insider Buying (0/2): No evidence of meaningful insider buying by fund management or trustees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excluding Forward P/E, 5-year revenue CAGR, and profit margin (all unavailable or meaningless for a closed-end fund structure). D/E of 46.3% reflects the fund's leverage — borrowings used to enhance distribution yield — and scores well against the 70% target [1]. ROE of 6.3% falls short of the 15% target, reflecting the fund's modest total return profile. Investment income growth YoY of -23.1% fell below the -20% floor, scoring 0 — driven by volatile real estate market conditions and interest rate headwinds [1]. Payout ratio of 240% scores 0, reflecting distributions exceeding net investment income with substantial return of capital — an unsustainable distribution model [3]. Consecutive years paid (22 years since 2004) scores perfectly at 2x weight. Consecutive years of distribution growth scores 0 — the distribution has been cut multiple times. 5-year distribution growth CAGR is approximately 0% or negative, scoring 0 at 2x weight [3]. Liquidity floor cleared at ~$2.6M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IGR is a closed-end fund operating as a financial product — it generates income from real estate securities and distributes it to shareholders. Sinek's framework does not map well to pass-through investment vehicles: the fund has no Just Cause beyond generating returns, no organizational culture to evaluate, and no competitive strategy to assess. The fund plays a fundamentally finite game — optimizing quarterly distributions and NAV performance metrics.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IGR exists to provide high current income and capital appreciation from global real estate securities — a purely financial objective with no vision of a better future [2]. While real estate investment serves an economic function (capital allocation to property development), the fund itself does not articulate a cause that inspires beyond returns. It is a financial product, not a purpose-driven enterprise.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CBRE Investment Management provides stable, professional fund management with a dedicated listed real assets team conducting bottom-up fundamental research [2]. The management structure has been consistent, and CBRE Investment Management is one of the world's largest real asset managers, suggesting institutional stability. However, as a closed-end fund, IGR has no direct employees and no organizational culture to evaluate in Sinek's framework.</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IGR operates in a competitive closed-end fund landscape alongside real estate ETFs and open-end funds that often offer similar exposure at lower cost. There is no evidence of the fund management acknowledging competitors' strengths or framing competition as an opportunity for improvement — performance is measured against benchmarks rather than worthy rivals.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IGR has operated with the same investment mandate — global real estate income securities — since its 2004 inception [2]. The fund has not adapted its strategy, pivoted to new asset classes, or transformed its business model despite significant changes in the real estate investment landscape (e-commerce impact on retail, remote work impact on office, rise of data centers). The 1-for-3 reverse stock split is a cosmetic change, not a strategic transformation.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fund management decisions. The distribution has been maintained at levels exceeding net investment income (240% payout ratio), suggesting management prioritizes maintaining the yield headline over sustainable distribution policy [3]. A courageous decision would be cutting the distribution to a sustainable level — instead, the fund relies on return of capital to maintain appearances.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IGR offers exposure to a diversified portfolio of global real estate securities managed by CBRE Investment Management, one of the world's largest real asset managers, at a ~13% discount to NAV ($11.89 vs ~$13.70) with a headline distribution yield of 18.2% [1][3]. The closed-end fund structure provides leveraged exposure (D/E 46.3%) to global REITs and real estate equities across property types (apartments, industrials, healthcare, hotels) and geographies (North America, Europe, Asia-Pacific). For income-focused investors willing to accept closed-end fund structural risks, the deep discount to NAV provides a margin of safety, and the monthly distribution cadence provides predictable cash flow. The August 2026 reverse stock split (1-for-3) is cosmetically neutral but may attract institutional investors with minimum share price requirements [1].</w:t>
      </w:r>
    </w:p>
    <w:p>
      <w:pPr>
        <w:spacing w:after="120"/>
      </w:pPr>
      <w:r>
        <w:rPr>
          <w:rFonts w:ascii="Calibri" w:hAnsi="Calibri"/>
          <w:b w:val="0"/>
          <w:color w:val="3A4A28"/>
          <w:sz w:val="20"/>
        </w:rPr>
        <w:t>The bear case is substantial: the 240% payout ratio means distributions materially exceed net investment income, with the difference covered by return of capital — effectively returning investors' own money back to them while eroding NAV [3]. This distribution model is unsustainable long-term; an analyst downgraded the fund to Hold citing rising return of capital as a signal of future distribution cut risk. The fund's investment income declined 23.1% YoY, reflecting the challenging real estate environment with elevated interest rates compressing property valuations and REIT earnings. The 5-year distribution growth CAGR of approximately 0% and history of distribution cuts demonstrate the fund's inability to grow income over time. The IOWN scoring framework is fundamentally misaligned with closed-end fund products — IGR scores poorly on Innovation (0), Inspiration (1), and Infinite Game (2) because it is a financial product, not an operating company with innovation capability, organizational purpose, or strategic flexibility. Investors seeking real estate income may be better served by lower-cost REIT ETFs or direct real estate investments.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Potential interest rate cuts would directly benefit real estate valuations and REIT earnings, increasing IGR's net investment income and reducing pressure on the unsustainable 240% payout ratio [1]</w:t>
      </w:r>
    </w:p>
    <w:p>
      <w:pPr>
        <w:spacing w:before="40" w:after="40"/>
        <w:ind w:left="283"/>
      </w:pPr>
      <w:r>
        <w:rPr>
          <w:rFonts w:ascii="Calibri" w:hAnsi="Calibri"/>
          <w:b/>
          <w:color w:val="4A6B25"/>
          <w:sz w:val="20"/>
        </w:rPr>
        <w:t xml:space="preserve">2. </w:t>
      </w:r>
      <w:r>
        <w:rPr>
          <w:rFonts w:ascii="Calibri" w:hAnsi="Calibri"/>
          <w:b w:val="0"/>
          <w:color w:val="3A4A28"/>
          <w:sz w:val="20"/>
        </w:rPr>
        <w:t>Discount to NAV narrowing from ~13% toward par as real estate sentiment improves, providing capital appreciation alongside the distribution yield [3]</w:t>
      </w:r>
    </w:p>
    <w:p>
      <w:pPr>
        <w:spacing w:before="40" w:after="40"/>
        <w:ind w:left="283"/>
      </w:pPr>
      <w:r>
        <w:rPr>
          <w:rFonts w:ascii="Calibri" w:hAnsi="Calibri"/>
          <w:b/>
          <w:color w:val="4A6B25"/>
          <w:sz w:val="20"/>
        </w:rPr>
        <w:t xml:space="preserve">3. </w:t>
      </w:r>
      <w:r>
        <w:rPr>
          <w:rFonts w:ascii="Calibri" w:hAnsi="Calibri"/>
          <w:b w:val="0"/>
          <w:color w:val="3A4A28"/>
          <w:sz w:val="20"/>
        </w:rPr>
        <w:t>1-for-3 reverse stock split potentially attracting institutional investors with minimum share price thresholds, improving trading liquidity and bid-ask spreads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Unsustainable 240% payout ratio with distributions materially exceeding net investment income — rising return of capital signals elevated risk of a future distribution cut that would compress the share price [3]</w:t>
      </w:r>
    </w:p>
    <w:p>
      <w:pPr>
        <w:spacing w:before="40" w:after="40"/>
        <w:ind w:left="283"/>
      </w:pPr>
      <w:r>
        <w:rPr>
          <w:rFonts w:ascii="Calibri" w:hAnsi="Calibri"/>
          <w:b/>
          <w:color w:val="4A6B25"/>
          <w:sz w:val="20"/>
        </w:rPr>
        <w:t xml:space="preserve">2. </w:t>
      </w:r>
      <w:r>
        <w:rPr>
          <w:rFonts w:ascii="Calibri" w:hAnsi="Calibri"/>
          <w:b w:val="0"/>
          <w:color w:val="3A4A28"/>
          <w:sz w:val="20"/>
        </w:rPr>
        <w:t>Investment income declined 23.1% YoY with no visibility on recovery — sustained high interest rates would continue to pressure REIT earnings and property valuations underlying the portfolio [1]</w:t>
      </w:r>
    </w:p>
    <w:p>
      <w:pPr>
        <w:spacing w:before="40" w:after="40"/>
        <w:ind w:left="283"/>
      </w:pPr>
      <w:r>
        <w:rPr>
          <w:rFonts w:ascii="Calibri" w:hAnsi="Calibri"/>
          <w:b/>
          <w:color w:val="4A6B25"/>
          <w:sz w:val="20"/>
        </w:rPr>
        <w:t xml:space="preserve">3. </w:t>
      </w:r>
      <w:r>
        <w:rPr>
          <w:rFonts w:ascii="Calibri" w:hAnsi="Calibri"/>
          <w:b w:val="0"/>
          <w:color w:val="3A4A28"/>
          <w:sz w:val="20"/>
        </w:rPr>
        <w:t>Structural closed-end fund disadvantages: leverage amplifies downside in falling markets, management fees erode returns versus lower-cost REIT ETFs, and the persistent discount to NAV reflects the market's skepticism about the active management value proposition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The underlying assets IGR invests in — physical real estate including offices, apartments, retail, industrials, hotels, and healthcare facilities — are physical-world infrastructure that AI structurally cannot displace [2]. Real estate will continue to exist regardless of AI adoption, and AI may even increase demand for certain property types (data centers, logistics). However, the fund management layer faces moderate AI disruption: AI-driven portfolio management tools, quant strategies, and AI-optimized real estate investment platforms could provide similar or superior returns at lower cost, potentially reducing demand for actively managed closed-end fund products. The 13% discount to NAV already reflects the market's skepticism about the active management value-add [3]. AI Opportunity (0/1): No AI products or AI-driven revenue streams were identified for this fund. CBRE Investment Management uses fundamental analysis, not AI-driven strategies.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CBRE Global Real Estate Income Fund (IGR) Financial Profile and Distribution — Monthly Distribution $0.06/share (pre-split), 1-for-3 Reverse Stock Split August 2026, Adjusted to $0.18/share Post-Split, NAV ~$13.70; CEF Connect, Yahoo Finance, CBRE Investment Management,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CBRE Investment Management Fund Strategy — Active Management, Global Real Estate Securities, Bottom-Up Fundamental Research, Diversified Property Type Exposure, CBREIM.com; Seeking Alpha, StockAnalysis,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IGR Distribution Sustainability and Valuation — 240% Payout Ratio, Return of Capital Component, 13% Discount to NAV, Distribution Cut Risk, YoY Income Decline 23.1%; Seeking Alpha, Yahoo Finance, Investing.com,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