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ILMN</w:t>
      </w:r>
      <w:r>
        <w:rPr>
          <w:rFonts w:ascii="Calibri" w:hAnsi="Calibri"/>
          <w:b/>
          <w:color w:val="1A2010"/>
          <w:sz w:val="40"/>
        </w:rPr>
        <w:t xml:space="preserve">  Illumina, Inc.</w:t>
      </w:r>
    </w:p>
    <w:p>
      <w:pPr>
        <w:spacing w:after="120"/>
      </w:pPr>
      <w:r>
        <w:rPr>
          <w:rFonts w:ascii="Calibri" w:hAnsi="Calibri"/>
          <w:b/>
          <w:color w:val="6E8450"/>
          <w:sz w:val="18"/>
        </w:rPr>
        <w:t>GROWTH SLEEVE · 2026-09-11 · Inspire: -65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Illumina, Inc. develops, manufactures, and markets integrated systems for genetic and genomic analysis, including next-generation DNA sequencing (NovaSeq X) and array-based technologies used in research, clinical diagnostics, and pharmaceutical applications worldwide. Founded in 1998 and headquartered in San Diego, California, Illumina serves customers in 165 countries with an installed base of roughly 21,000 sequencing instruments. CEO Jacob Thaysen has continued a multi-year restructuring, cutting approximately 12% of global staff over the past year while clinical sequencing growth has accelerated to its fastest pace since he joined.</w:t>
      </w:r>
    </w:p>
    <w:p>
      <w:r>
        <w:rPr>
          <w:rFonts w:ascii="Calibri" w:hAnsi="Calibri"/>
          <w:b/>
          <w:color w:val="6E8450"/>
          <w:sz w:val="18"/>
        </w:rPr>
        <w:t>8,400 Employees · https://www.illumina.com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Illumina has expanded its platform through the SomaLogic acquisition and the BioInsight business unit, and Q2 2026 revenue grew 9.5% YoY to $1.16B — the fastest growth rate since CEO Jacob Thaysen joined — with sequencing instrument revenue up 31% YoY, reflecting real acceleration though not yet a transformative reinvention [1]. AI Deployment (1/2): BioInsight explicitly integrates AI into genomic and multiomic data interpretation, and clinical sequencing (much of it AI-assisted) continues to exceed 65% of sequencing consumables revenue, though no specific dollar figure for AI-driven revenue or savings was disclosed [2]. Market Share (1/2): Illumina remains the dominant global leader in DNA sequencing platforms, but faces rising competitive pressure from BGI/MGI, Ultima Genomics, and Element Biosciences in short-read sequencing, and no recent share-gain data was identified. Product Pipeline (2/2): Management raised full-year 2026 revenue guidance to $4.60-4.64B and adjusted EPS guidance to $5.30-5.40 (both up from the prior quarter's already-raised guidance), with Rest of World clinical consumables growing 15% ex-China and US/Canada above 20% [3]. R&amp;D Intensity (0/1): No R&amp;D-to-revenue percentage relative to peers was identified in available disclosures.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Illumina's mission — 'to improve human health by unlocking the power of the genome' — is specific and appears genuinely lived internally, with 60% of employees reportedly citing the mission as their main reason for staying, but the company's 2021 decision to close the $8B GRAIL acquisition in defiance of an active EU regulatory standstill order (leading to a forced 2023 divestiture and shareholder derivative litigation, settled without cash payment in August 2025 pending November 2026 court approval) shows a serious past lapse in principled, long-term decision-making that falls short of a fully validated Just Cause [4][5]. Community Impact (0/2): Illumina's stated 'vision is access to genomic medicine for all,' but no specific charitable programs or dollar-denominated community investments were identified. Employee Retention (2/2): The 60% mission-retention statistic remains a specific, notable data point supporting genuine mission-driven retention despite continued organizational restructuring [4]. Insider Buying (0/2): No insider buying data was identified; instead, the company has cut approximately 12% of its global workforce over the past year as part of ongoing cost optimization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liquidity floor is cleared with room to spare ($1.73M avg daily volume x $201.27 = ~$348M) [7]. Illumina combines strong and improving profitability (32.3% ROE, 18.3% profit margin) with a growth profile now clearly re-accelerating — Q2 2026 revenue grew 9.5% YoY, the fastest pace since CEO Thaysen joined, though the 5-year revenue CAGR remains roughly -1.0% (FY2021 $4.53B to FY2025 $4.34B) as the multi-year prior slump has not yet fully rolled off the trailing window [3][7]. Valuation remains the main drag: D/E of 89%, a 35.3x forward P/E, and a 3.27 forward PEG (above the 3.0 floor) reflect a stock priced ahead of its recent growth trajectory even as guidance continues to be raised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Illumina's mission to 'improve human health by unlocking the power of the genome' clearly resonates internally — 60% of employees cite it as their reason for staying — and the August 2025 no-cash-payment settlement of GRAIL-related shareholder litigation (pending November 2026 court approval) closes out some governance overhang. However, the company has now cut roughly 12% of its global workforce over the past year, and combined with the earlier GRAIL saga's legacy, Illumina still reads as a mission-driven company whose organizational trust has not kept pace with its stated purpose, even as operating performance improves.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'Improve human health by unlocking the power of the genome' is a genuine, resilient, and idealistic purpose that has driven the company since 1998 and clearly still resonates internally (60% of employees cite it as their reason for staying), but the GRAIL acquisition — closed in willful violation of an active EU standstill order — remains a serious deviation from principled, purpose-aligned decision-making, even as the August 2025 settlement (pending final court approval in November 2026) resolves the litigation without further cash cost [4][5].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Illumina has cut approximately 12% of its global workforce over the past year according to CEO Jacob Thaysen, continuing the pattern of 'practically semiannual sweeping layoffs' first flagged in 2025, which remains inconsistent with a high-trust organizational culture regardless of improving financial performance [6].</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Illumina publicly framing its competitive response to BGI/MGI, Ultima Genomics, or Element Biosciences as anything other than a share-defense posture; no explicit 'worthy rivals' language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SomaLogic acquisition and BioInsight business unit represent genuine expansion into proteomics, multiomics, and AI-driven data services beyond core sequencing hardware, but the earlier GRAIL diversification attempt was reversed under regulatory pressure, and these newer moves remain bolt-ons rather than a transformative reinvention [2][5].</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Illumina continued investing in the NovaSeq X platform and clinical sequencing expansion through the restructuring period, and results are now inflecting positively with guidance raised twice in 2026, but the ongoing workforce reductions reflect cost discipline more than the kind of proactive, purpose-driven sacrifice Sinek's framework rewards [3][6].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Illumina's growth reacceleration is now clearly visible: Q2 2026 revenue grew 9.5% YoY to $1.16B (the fastest pace since CEO Jacob Thaysen joined), sequencing instrument revenue rose 31% YoY, and management raised full-year 2026 guidance for the second consecutive quarter to $4.60-4.64B revenue and $5.30-5.40 adjusted EPS [1][3]. Clinical markets remain the primary growth driver, with Rest of World clinical consumables growing 15% ex-China and US/Canada above 20%, while the BioInsight unit continues monetizing Illumina's genomic data leadership through AI and pharma data partnerships, and the company's mission clearly resonates internally, with 60% of employees citing it as their primary reason for staying [2][3][4].</w:t>
      </w:r>
    </w:p>
    <w:p>
      <w:pPr>
        <w:spacing w:after="120"/>
      </w:pPr>
      <w:r>
        <w:rPr>
          <w:rFonts w:ascii="Calibri" w:hAnsi="Calibri"/>
          <w:b w:val="0"/>
          <w:color w:val="3A4A28"/>
          <w:sz w:val="20"/>
        </w:rPr>
        <w:t>The bear case centers on valuation and organizational trust: at 35.3x forward earnings and a 3.27 forward PEG (above the IOWN floor of 3.0), the stock is priced for a growth recovery that has only recently become visible after a 5-year revenue CAGR of roughly -1.0%, and the GRAIL acquisition debacle — though now settled without cash payment (pending November 2026 court approval) — leaves a governance scar [5][7]. Internally, Illumina has cut roughly 12% of its global workforce over the past year, and this continued restructuring, following 'rock-bottom morale' reports tied to the GRAIL saga, could constrain execution on the BioInsight and NovaSeq X growth agenda even as headline results improve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clinical sequencing acceleration toward or beyond the raised $4.60-4.64B FY2026 revenue guidance, following back-to-back guidance raises in 2026</w:t>
      </w:r>
    </w:p>
    <w:p>
      <w:pPr>
        <w:spacing w:before="40" w:after="40"/>
        <w:ind w:left="283"/>
      </w:pPr>
      <w:r>
        <w:rPr>
          <w:rFonts w:ascii="Calibri" w:hAnsi="Calibri"/>
          <w:b/>
          <w:color w:val="4A6B25"/>
          <w:sz w:val="20"/>
        </w:rPr>
        <w:t xml:space="preserve">2. </w:t>
      </w:r>
      <w:r>
        <w:rPr>
          <w:rFonts w:ascii="Calibri" w:hAnsi="Calibri"/>
          <w:b w:val="0"/>
          <w:color w:val="3A4A28"/>
          <w:sz w:val="20"/>
        </w:rPr>
        <w:t>BioInsight's AI-driven data and pharma partnerships beginning to generate disclosed, quantifiable revenue beyond the core hardware and consumables business</w:t>
      </w:r>
    </w:p>
    <w:p>
      <w:pPr>
        <w:spacing w:before="40" w:after="40"/>
        <w:ind w:left="283"/>
      </w:pPr>
      <w:r>
        <w:rPr>
          <w:rFonts w:ascii="Calibri" w:hAnsi="Calibri"/>
          <w:b/>
          <w:color w:val="4A6B25"/>
          <w:sz w:val="20"/>
        </w:rPr>
        <w:t xml:space="preserve">3. </w:t>
      </w:r>
      <w:r>
        <w:rPr>
          <w:rFonts w:ascii="Calibri" w:hAnsi="Calibri"/>
          <w:b w:val="0"/>
          <w:color w:val="3A4A28"/>
          <w:sz w:val="20"/>
        </w:rPr>
        <w:t>Final court approval (targeted November 2026) of the no-cash-payment GRAIL shareholder litigation settlement, removing a multi-year governance overhang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35.3x forward P/E and a 3.27 forward PEG price in a growth recovery that is still in its early innings relative to the negative 5-year revenue CAGR</w:t>
      </w:r>
    </w:p>
    <w:p>
      <w:pPr>
        <w:spacing w:before="40" w:after="40"/>
        <w:ind w:left="283"/>
      </w:pPr>
      <w:r>
        <w:rPr>
          <w:rFonts w:ascii="Calibri" w:hAnsi="Calibri"/>
          <w:b/>
          <w:color w:val="4A6B25"/>
          <w:sz w:val="20"/>
        </w:rPr>
        <w:t xml:space="preserve">2. </w:t>
      </w:r>
      <w:r>
        <w:rPr>
          <w:rFonts w:ascii="Calibri" w:hAnsi="Calibri"/>
          <w:b w:val="0"/>
          <w:color w:val="3A4A28"/>
          <w:sz w:val="20"/>
        </w:rPr>
        <w:t>Continued workforce reductions (~12% of global staff cut over the past year) point to unresolved organizational instability even as financial results improve</w:t>
      </w:r>
    </w:p>
    <w:p>
      <w:pPr>
        <w:spacing w:before="40" w:after="40"/>
        <w:ind w:left="283"/>
      </w:pPr>
      <w:r>
        <w:rPr>
          <w:rFonts w:ascii="Calibri" w:hAnsi="Calibri"/>
          <w:b/>
          <w:color w:val="4A6B25"/>
          <w:sz w:val="20"/>
        </w:rPr>
        <w:t xml:space="preserve">3. </w:t>
      </w:r>
      <w:r>
        <w:rPr>
          <w:rFonts w:ascii="Calibri" w:hAnsi="Calibri"/>
          <w:b w:val="0"/>
          <w:color w:val="3A4A28"/>
          <w:sz w:val="20"/>
        </w:rPr>
        <w:t>Intensifying competition from BGI/MGI, Ultima Genomics, and Element Biosciences in short-read sequencing threatens Illumina's historically dominant platform share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Illumina's core sequencing hardware and reagent chemistry business generates the raw genomic data that AI and machine-learning models across biotech and pharma depend on — AI cannot substitute the physical/chemical process of DNA sequencing, and the AI-in-genomics wave remains a direct demand tailwind rather than a threat, since more AI-driven drug discovery and diagnostics work requires more sequencing volume. Competitive pressure exists from other sequencing hardware makers (BGI/MGI, Ultima Genomics, Element Biosciences), but that is hardware substitution risk, not AI disruption risk [1][2]. AI Opportunity (1/1): The BioInsight business unit continues to combine AI, software, and pharma data partnerships as a named growth driver, and clinical sequencing — much of it AI-assisted for interpretation — continues to exceed 65% of consumables revenue amid accelerating overall growth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In Vitro Fertilization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Illumina Reports Financial Results for Second Quarter of Fiscal Year 2026 — Illumina Investor Relations, SEC 8-K, GenomeWeb, PR Newswire, July 30, 2026</w:t>
      </w:r>
    </w:p>
    <w:p>
      <w:pPr>
        <w:spacing w:before="20" w:after="20"/>
        <w:ind w:left="170"/>
      </w:pPr>
      <w:r>
        <w:rPr>
          <w:rFonts w:ascii="Calibri" w:hAnsi="Calibri"/>
          <w:b/>
          <w:color w:val="4A6B25"/>
          <w:sz w:val="15"/>
        </w:rPr>
        <w:t xml:space="preserve">2. </w:t>
      </w:r>
      <w:r>
        <w:rPr>
          <w:rFonts w:ascii="Calibri" w:hAnsi="Calibri"/>
          <w:b w:val="0"/>
          <w:color w:val="3A4A28"/>
          <w:sz w:val="17"/>
        </w:rPr>
        <w:t>Illumina BioInsight and AI Strategy — Illumina Newsroom, 2025-2026</w:t>
      </w:r>
    </w:p>
    <w:p>
      <w:pPr>
        <w:spacing w:before="20" w:after="20"/>
        <w:ind w:left="170"/>
      </w:pPr>
      <w:r>
        <w:rPr>
          <w:rFonts w:ascii="Calibri" w:hAnsi="Calibri"/>
          <w:b/>
          <w:color w:val="4A6B25"/>
          <w:sz w:val="15"/>
        </w:rPr>
        <w:t xml:space="preserve">3. </w:t>
      </w:r>
      <w:r>
        <w:rPr>
          <w:rFonts w:ascii="Calibri" w:hAnsi="Calibri"/>
          <w:b w:val="0"/>
          <w:color w:val="3A4A28"/>
          <w:sz w:val="17"/>
        </w:rPr>
        <w:t>Illumina Raises 2026 Guidance After Q2 Results — GenomeWeb, Motley Fool Q2 2026 Earnings Call Transcript, August 2026</w:t>
      </w:r>
    </w:p>
    <w:p>
      <w:pPr>
        <w:spacing w:before="20" w:after="20"/>
        <w:ind w:left="170"/>
      </w:pPr>
      <w:r>
        <w:rPr>
          <w:rFonts w:ascii="Calibri" w:hAnsi="Calibri"/>
          <w:b/>
          <w:color w:val="4A6B25"/>
          <w:sz w:val="15"/>
        </w:rPr>
        <w:t xml:space="preserve">4. </w:t>
      </w:r>
      <w:r>
        <w:rPr>
          <w:rFonts w:ascii="Calibri" w:hAnsi="Calibri"/>
          <w:b w:val="0"/>
          <w:color w:val="3A4A28"/>
          <w:sz w:val="17"/>
        </w:rPr>
        <w:t>Illumina-GRAIL Antitrust and Governance Litigation, August 2025 No-Cash Settlement — Bloomberg Law, TipRanks, SEC filings, 2021-2026</w:t>
      </w:r>
    </w:p>
    <w:p>
      <w:pPr>
        <w:spacing w:before="20" w:after="20"/>
        <w:ind w:left="170"/>
      </w:pPr>
      <w:r>
        <w:rPr>
          <w:rFonts w:ascii="Calibri" w:hAnsi="Calibri"/>
          <w:b/>
          <w:color w:val="4A6B25"/>
          <w:sz w:val="15"/>
        </w:rPr>
        <w:t xml:space="preserve">5. </w:t>
      </w:r>
      <w:r>
        <w:rPr>
          <w:rFonts w:ascii="Calibri" w:hAnsi="Calibri"/>
          <w:b w:val="0"/>
          <w:color w:val="3A4A28"/>
          <w:sz w:val="17"/>
        </w:rPr>
        <w:t>Illumina Mission Statement and Employee Engagement — Illumina 'About Us', Comparably,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Illumina Workforce Reductions — CEO Jacob Thaysen commentary, MedTech Dive, 2025-2026</w:t>
      </w:r>
    </w:p>
    <w:p>
      <w:pPr>
        <w:spacing w:before="20" w:after="20"/>
        <w:ind w:left="170"/>
      </w:pPr>
      <w:r>
        <w:rPr>
          <w:rFonts w:ascii="Calibri" w:hAnsi="Calibri"/>
          <w:b/>
          <w:color w:val="4A6B25"/>
          <w:sz w:val="15"/>
        </w:rPr>
        <w:t xml:space="preserve">7. </w:t>
      </w:r>
      <w:r>
        <w:rPr>
          <w:rFonts w:ascii="Calibri" w:hAnsi="Calibri"/>
          <w:b w:val="0"/>
          <w:color w:val="3A4A28"/>
          <w:sz w:val="17"/>
        </w:rPr>
        <w:t>stockanalysis.com — ILMN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