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IMSR</w:t>
      </w:r>
      <w:r>
        <w:rPr>
          <w:rFonts w:ascii="Calibri" w:hAnsi="Calibri"/>
          <w:b/>
          <w:color w:val="1A2010"/>
          <w:sz w:val="40"/>
        </w:rPr>
        <w:t xml:space="preserve">  Terrestrial Energy Inc.</w:t>
      </w:r>
    </w:p>
    <w:p>
      <w:pPr>
        <w:spacing w:after="120"/>
      </w:pPr>
      <w:r>
        <w:rPr>
          <w:rFonts w:ascii="Calibri" w:hAnsi="Calibri"/>
          <w:b/>
          <w:color w:val="6E8450"/>
          <w:sz w:val="18"/>
        </w:rPr>
        <w:t>GROWTH SLEEVE · 2026-09-05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Advanced Nuclear Technology · NASDAQ · United States</w:t>
      </w:r>
    </w:p>
    <w:p>
      <w:pPr>
        <w:spacing w:after="80"/>
      </w:pPr>
      <w:r>
        <w:rPr>
          <w:rFonts w:ascii="Calibri" w:hAnsi="Calibri"/>
          <w:b w:val="0"/>
          <w:color w:val="3A4A28"/>
          <w:sz w:val="20"/>
        </w:rPr>
        <w:t>Terrestrial Energy Inc. is a Charlotte, North Carolina-based advanced nuclear technology company developing the Integral Molten Salt Reactor (IMSR), a Generation IV small modular reactor designed to produce reliable, emission-free electricity and high-temperature heat for industrial applications. The company completed a business combination with HCM II Acquisition Corp. in October 2025, raising $292M in gross proceeds and listing on NASDAQ. IMSR is pre-revenue with a Q2 2026 net loss of $9.4M but maintains a strong balance sheet with $289.9M in cash as of March 2026. The NRC approved the company's PIE Methodology Topical Report in May 2026, and updated IMSR unit economics project $2.7B cumulative lifetime revenue per plant with a serviceable addressable market of $2.3T by 2050.</w:t>
      </w:r>
    </w:p>
    <w:p>
      <w:r>
        <w:rPr>
          <w:rFonts w:ascii="Calibri" w:hAnsi="Calibri"/>
          <w:b/>
          <w:color w:val="6E8450"/>
          <w:sz w:val="18"/>
        </w:rPr>
        <w:t>https://www.terrestrialenergy.com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Terrestrial Energy completed its business combination with HCM II Acquisition Corp. in October 2025, raising $292M in gross proceeds and listing on NASDAQ [1]. The company opened a new corporate headquarters in Charlotte, NC and expanded leadership with VP of Government Relations and VP of Business Development appointments [3]. However, no IMSR reactor has been constructed, no power generated, and no commercial revenue earned — these are corporate milestones rather than product launches. AI Deployment (0/2): No AI-powered products or AI-driven operational savings are evident. The company positions itself as an enabler of AI infrastructure through data center power but does not deploy AI in its own operations. Market Share (0/2): Pre-revenue company with no commercial plants in operation and zero market share in nuclear power generation. Product Pipeline (1/2): The IMSR technology has a defined regulatory path — the NRC approved the PIE Methodology Topical Report in May 2026, advancing the licensing basis [2]. Updated unit economics show $2.7B cumulative lifetime revenue per IMSR plant (up from $2.1B) with 33% blended gross margin and a $2.3T SAM by 2050 [1]. However, no specific construction start dates, customer purchase agreements, or commercial deployment timelines have been announced. R&amp;D Intensity (1/1): The company is essentially a pure-play R&amp;D operation — all $28M+ in annual spending is directed toward technology development, NRC licensing, and engineering, representing R&amp;D intensity well above any industry average.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CEO Simon Irish articulates a purpose around delivering 'cost-competitive energy essential to power U.S. manufacturing reshoring and AI leadership' through Generation IV nuclear technology [3]. The mission connects nuclear innovation to a broader purpose (clean energy, industrial competitiveness), but reads as sector-standard positioning rather than a deeply distinctive cause that has shaped strategic sacrifices. Community Impact (0/2): No evidence of charitable programs, community investment, or foundation activity was identified. The company is pre-revenue and focused entirely on technology development and regulatory licensing. Employee Retention (0/2): No employee tenure or retention data is publicly available. The company expanded leadership in 2025-2026 with several executive hires, but the organization is too young and small for meaningful retention metrics [3]. Insider Buying (0/2): No evidence of net insider buying. General Counsel Steven Millsap exercised 134,109 stock options (strike $9.17) in July 2026, representing insider selling rather than conviction buying at market prices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 most financial ratios are not applicable for this pre-revenue, pre-commercial nuclear technology company. The balance sheet is clean with $289.9M in cash from the October 2025 SPAC merger and minimal debt, yielding a D/E near 0% (scoring 1.0) [1]. However, all profitability metrics score zero: ROE is negative ($28M net loss in 2025 against ~$300M equity), profit margin is undefined with zero revenue, and forward P/E and PEG cannot be calculated for a company with no earnings timeline [4]. Revenue growth metrics are excluded (no revenue in any period). The infrastructure score of 3/10 reflects one perfect score (low leverage) against three zero scores (negative ROE, negative margin, zero revenue), with most metrics excluded. The stock clears the liquidity floor at $15.0M average daily dollar volume ($5.09 x 2.95M avg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Terrestrial Energy is too young and pre-commercial to have demonstrated infinite game characteristics through crisis or multi-decade execution. CEO Simon Irish has maintained a consistent vision for IMSR technology since the company's founding in 2013, and the decision to pursue Generation IV nuclear — requiring 10+ years of regulatory and engineering development — inherently requires long-term thinking. However, the company has not yet been tested by the market pressures that distinguish infinite from finite players: no revenue cycles, no competitive displacement events, no leadership transitions under duress.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Terrestrial Energy's cause — delivering next-generation clean nuclear energy through IMSR technology — connects its work to a genuine purpose beyond profit (decarbonization, energy security, industrial competitiveness) [3]. However, this cause is shared by every advanced nuclear startup (TerraPower, NuScale, X-energy, Kairos Power). The cause has not been tested through crisis, leadership transition, or strategic sacrifice. It remains a business plan rather than a validated Just Cause in Sinek's framework.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company has been expanding its leadership team with experienced executives — Jim Howe (VP Government Relations) and David O'Keefe (VP Business Development) bring relevant expertise in nuclear commercialization [3]. The new Charlotte headquarters signals organizational stability. However, the company is too small and young for meaningful trust evidence. No employee sentiment data, tenure metrics, or cultural indicators are available.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Terrestrial Energy operates in an advanced nuclear landscape alongside worthy rivals including TerraPower (Bill Gates-backed, Natrium reactor), NuScale (first NRC-certified SMR design), and X-energy (Xe-100). CEO Simon Irish has consistently focused communication on IMSR's specific advantages — molten salt technology, capital efficiency, fuel versatility — rather than disparaging competitors [3]. The industry's collaborative regulatory environment and shared advocacy for nuclear energy suggest an improvement-oriented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Terrestrial Energy has not faced a strategic pivot test. The company has pursued the same technology (IMSR) since its founding in 2013 — appropriate given the long development timelines of nuclear technology, but offering no evidence of existential flexibility. The company is too young to have been forced to choose between its current path and a fundamentally different direction.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Generation IV nuclear reactor development requires inherent courage — the regulatory timeline is 10+ years, capital requirements are enormous, and technology risk is real [2]. The decision to raise $292M through a SPAC merger and commit that capital to a pre-revenue technology demonstrates willingness to make a long-term bet [1]. However, this is the only bet the company has ever made — no pattern of courageous choices in the face of competing pressures, just a single all-in technology commitment.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Terrestrial Energy represents a pure-play bet on Generation IV nuclear energy commercialization, with IMSR technology targeting the intersection of clean energy, industrial decarbonization, and AI data center power demand. The company's $289.9M cash position (as of March 2026) provides multi-year runway without dilution, and the NRC's May 2026 approval of the PIE Methodology Topical Report demonstrates tangible regulatory progress [1][2]. Updated IMSR unit economics — $2.7B cumulative lifetime revenue per plant at 33% gross margin — are compelling if commercialization succeeds, and the $2.3T SAM by 2050 provides enormous optionality. The nuclear energy sector is experiencing unprecedented tailwinds from AI hyperscaler power demand, with Microsoft, Google, and Amazon all pursuing nuclear power agreements.</w:t>
      </w:r>
    </w:p>
    <w:p>
      <w:pPr>
        <w:spacing w:after="120"/>
      </w:pPr>
      <w:r>
        <w:rPr>
          <w:rFonts w:ascii="Calibri" w:hAnsi="Calibri"/>
          <w:b w:val="0"/>
          <w:color w:val="3A4A28"/>
          <w:sz w:val="20"/>
        </w:rPr>
        <w:t>The bear case is that Terrestrial Energy is a pre-revenue, pre-commercial company burning ~$9.4M per quarter with no timeline for first revenue [1]. The IMSR technology has never been built at commercial scale — the NRC regulatory process remains multi-year with uncertain outcomes, and no customer purchase agreements or construction contracts have been announced. At a $584M market cap with zero revenue, the stock is entirely priced on optionality and execution faith [4]. Competing technologies from better-funded rivals (TerraPower with DOE backing and Gates capital, NuScale with NRC certification already achieved) may reach commercialization first, potentially commoditizing the advanced nuclear market before IMSR is ready. Insider selling activity (General Counsel exercised options at $9.17 strike in July 2026) and post-SPAC shareholder overhang create selling pressure. The Inspire Impact Score of 0 (MIXED) reflects no ESG differentiation despite the clean energy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NRC regulatory milestones — additional Topical Report approvals and progress toward construction permit application could de-risk the technology and provide a concrete commercialization timeline, following the May 2026 PIE Methodology approval [2]</w:t>
      </w:r>
    </w:p>
    <w:p>
      <w:pPr>
        <w:spacing w:before="40" w:after="40"/>
        <w:ind w:left="283"/>
      </w:pPr>
      <w:r>
        <w:rPr>
          <w:rFonts w:ascii="Calibri" w:hAnsi="Calibri"/>
          <w:b/>
          <w:color w:val="4A6B25"/>
          <w:sz w:val="20"/>
        </w:rPr>
        <w:t xml:space="preserve">2. </w:t>
      </w:r>
      <w:r>
        <w:rPr>
          <w:rFonts w:ascii="Calibri" w:hAnsi="Calibri"/>
          <w:b w:val="0"/>
          <w:color w:val="3A4A28"/>
          <w:sz w:val="20"/>
        </w:rPr>
        <w:t>AI data center power demand acceleration — hyperscaler nuclear power agreements from Microsoft, Google, and Amazon validate the IMSR's target market and could drive strategic partnerships or offtake agreements for Terrestrial Energy</w:t>
      </w:r>
    </w:p>
    <w:p>
      <w:pPr>
        <w:spacing w:before="40" w:after="40"/>
        <w:ind w:left="283"/>
      </w:pPr>
      <w:r>
        <w:rPr>
          <w:rFonts w:ascii="Calibri" w:hAnsi="Calibri"/>
          <w:b/>
          <w:color w:val="4A6B25"/>
          <w:sz w:val="20"/>
        </w:rPr>
        <w:t xml:space="preserve">3. </w:t>
      </w:r>
      <w:r>
        <w:rPr>
          <w:rFonts w:ascii="Calibri" w:hAnsi="Calibri"/>
          <w:b w:val="0"/>
          <w:color w:val="3A4A28"/>
          <w:sz w:val="20"/>
        </w:rPr>
        <w:t>Updated IMSR unit economics showing $2.7B lifetime revenue per plant at 33% margin — if validated by engineering progress and first customer commitments, this reframes the stock from speculative to pipeline-based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Pre-revenue cash burn of ~$9.4M per quarter ($37.6M annualized) against $289.9M cash provides approximately 7-8 years of runway, but commercialization delays or cost overruns could force dilutive capital raises that erode shareholder value [1]</w:t>
      </w:r>
    </w:p>
    <w:p>
      <w:pPr>
        <w:spacing w:before="40" w:after="40"/>
        <w:ind w:left="283"/>
      </w:pPr>
      <w:r>
        <w:rPr>
          <w:rFonts w:ascii="Calibri" w:hAnsi="Calibri"/>
          <w:b/>
          <w:color w:val="4A6B25"/>
          <w:sz w:val="20"/>
        </w:rPr>
        <w:t xml:space="preserve">2. </w:t>
      </w:r>
      <w:r>
        <w:rPr>
          <w:rFonts w:ascii="Calibri" w:hAnsi="Calibri"/>
          <w:b w:val="0"/>
          <w:color w:val="3A4A28"/>
          <w:sz w:val="20"/>
        </w:rPr>
        <w:t>NRC regulatory risk — the licensing process for Generation IV reactors is unprecedented and could face delays, additional requirements, or design challenges that push the commercialization timeline beyond competitor technologies like TerraPower's Natrium or NuScale's certified SMR [2]</w:t>
      </w:r>
    </w:p>
    <w:p>
      <w:pPr>
        <w:spacing w:before="40" w:after="40"/>
        <w:ind w:left="283"/>
      </w:pPr>
      <w:r>
        <w:rPr>
          <w:rFonts w:ascii="Calibri" w:hAnsi="Calibri"/>
          <w:b/>
          <w:color w:val="4A6B25"/>
          <w:sz w:val="20"/>
        </w:rPr>
        <w:t xml:space="preserve">3. </w:t>
      </w:r>
      <w:r>
        <w:rPr>
          <w:rFonts w:ascii="Calibri" w:hAnsi="Calibri"/>
          <w:b w:val="0"/>
          <w:color w:val="3A4A28"/>
          <w:sz w:val="20"/>
        </w:rPr>
        <w:t>Post-SPAC overhang — the October 2025 business combination created a large base of shareholders who may exit positions, and insider option exercises at above-market strike prices signal limited management conviction at current price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Terrestrial Energy's core business — designing, licensing, and ultimately constructing physical nuclear power plants — is structurally immune to AI disruption. AI cannot replace nuclear reactor engineering, NRC regulatory licensing processes, physical plant construction, or uranium fuel supply chains [2]. More critically, AI is a demand driver for Terrestrial Energy's product: large-scale AI data centers require massive baseload power that intermittent renewables cannot reliably provide, and nuclear is increasingly viewed as the preferred solution — Microsoft, Google, and Amazon have all signed nuclear power agreements for data center capacity. The IMSR's positioning as cost-competitive baseload power for industrial and data center applications means AI growth directly expands the addressable market [1]. The only risk is that competing nuclear technologies (TerraPower's Natrium, NuScale's SMR, X-energy's Xe-100) may commercialize faster. AI Opportunity (0/1): Terrestrial Energy generates zero revenue from AI products or services. While positioned as an AI infrastructure enabler, it has no AI-related revenue streams at this stage.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Terrestrial Energy Q2 FY2026 Results and CEO Letter — Net loss $9.4M, cash $289.9M, IMSR unit economics $2.7B lifetime revenue per plant, 33% gross margin, SAM $2.3T by 2050,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NRC Safety Evaluation Report — Approval of Terrestrial Energy's IMSR Postulated Initiating Events (PIE) Methodology Topical Report, BusinessWire, May 2026</w:t>
      </w:r>
    </w:p>
    <w:p>
      <w:pPr>
        <w:spacing w:before="20" w:after="20"/>
        <w:ind w:left="170"/>
      </w:pPr>
      <w:r>
        <w:rPr>
          <w:rFonts w:ascii="Calibri" w:hAnsi="Calibri"/>
          <w:b/>
          <w:color w:val="4A6B25"/>
          <w:sz w:val="15"/>
        </w:rPr>
        <w:t xml:space="preserve">3. </w:t>
      </w:r>
      <w:r>
        <w:rPr>
          <w:rFonts w:ascii="Calibri" w:hAnsi="Calibri"/>
          <w:b w:val="0"/>
          <w:color w:val="3A4A28"/>
          <w:sz w:val="17"/>
        </w:rPr>
        <w:t>Terrestrial Energy Corporate Development — Charlotte NC HQ opening, executive appointments (Jim Howe VP Govt Relations, David O'Keefe VP Business Development), CEO Simon Irish communications, Nasdaq.com, November 2025-March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CNN, Morningstar — IMSR market cap $583.7M, stock price $5.09, shares outstanding 105.9M, 3-month avg volume 2.95M, insider transactions,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