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IMTE</w:t>
      </w:r>
      <w:r>
        <w:rPr>
          <w:rFonts w:ascii="Calibri" w:hAnsi="Calibri"/>
          <w:b/>
          <w:color w:val="1A2010"/>
          <w:sz w:val="40"/>
        </w:rPr>
        <w:t xml:space="preserve">  Integrated Media Technology Limited</w:t>
      </w:r>
    </w:p>
    <w:p>
      <w:pPr>
        <w:spacing w:after="120"/>
      </w:pPr>
      <w:r>
        <w:rPr>
          <w:rFonts w:ascii="Calibri" w:hAnsi="Calibri"/>
          <w:b/>
          <w:color w:val="6E8450"/>
          <w:sz w:val="18"/>
        </w:rPr>
        <w:t>GROWTH SLEEVE · 2026-09-25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NASDAQ · Australia</w:t>
      </w:r>
    </w:p>
    <w:p>
      <w:pPr>
        <w:spacing w:after="80"/>
      </w:pPr>
      <w:r>
        <w:rPr>
          <w:rFonts w:ascii="Calibri" w:hAnsi="Calibri"/>
          <w:b w:val="0"/>
          <w:color w:val="3A4A28"/>
          <w:sz w:val="20"/>
        </w:rPr>
        <w:t>Integrated Media Technology Limited is a technology investment and distribution company headquartered in Adelaide, Australia. The company operates across disparate business lines including manufacture and sale of nano-coated plates for filters and air purifiers, electronic glass, halal certification and distribution, new energy products, and Credit AI (corporate bond risk analytics via Greifenberg Digital). CEO Con Unerkov has served since December 2024, also acting as interim CFO. Annual revenue of $72,641 (2025) across 5 employees.</w:t>
      </w:r>
    </w:p>
    <w:p>
      <w:r>
        <w:rPr>
          <w:rFonts w:ascii="Calibri" w:hAnsi="Calibri"/>
          <w:b/>
          <w:color w:val="6E8450"/>
          <w:sz w:val="18"/>
        </w:rPr>
        <w:t>5 Employees · https://www.imtechltd.com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IMTE generated only $72,641 in annual revenue (2025) across its scattered business lines, with no evidence of successful product launches or meaningful market traction in any segment [1]. The company has added unrelated business lines (halal certification, digital asset marketplace, new energy, Credit AI via Greifenberg Digital) over the past 5 years but none have achieved commercial scale — H1 2025 revenue of $50,580 (+16% YoY) represents trivial absolute levels [1]. AI Deployment (0/2): Greifenberg Digital launched 'Credit AI' for corporate bond risk analytics using machine learning, but no evidence of revenue generation or measurable results from a 5-employee company [2]. Market Share (0/2): No meaningful market share in any category with $73K annual revenue. Product Pipeline (0/2): Web3 infrastructure, AI integration into visual display technologies, and carbon credit/blockchain platforms are mentioned without specific timelines, revenue visibility, or commercial traction [2]. R&amp;D Intensity (0/1): No discernible R&amp;D investment from a company with 5 employees and $73K revenue. Score: 0, minimum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IMTE has no discernible mission, purpose, or vision statement on its website or public materials beyond generic descriptions of its disparate business lines [2]. The lack of a unifying purpose is reflected in the company's scattered pivots across unrelated sectors. Community Impact (0/2): No community or charitable programs are evident for a 5-employee company with $73K revenue. Employee Retention (0/2): Five full-time employees, CEO also serves as interim CFO, and no Glassdoor reviews make culture assessment impossible. Insider Buying (0/2): No insider buying data available; the company faces ongoing Nasdaq compliance proceedings and rescheduled its AGM to address board seats, ESOP, and share consolidation, signaling governance instability rather than leadership conviction [3]. Score: 0, minimum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Average daily volume of 287,544 shares at $0.49 = $140,897 daily dollar volume, far below the $1,000,000 minimum threshold. Infrastructure score is automatically 0 regardless of other metrics [4]. For context, the underlying financials are equally dire: $1.68M market cap, $72,641 annual revenue, D/E of 103.2% ($14.4M debt against $10,154 cash), ROE of -1.94%, operating margin of -61.8%, and gross margin of 0.0% [4]. The company rescheduled its AGM in May 2026 to vote on board seats, ESOP, and share consolidation, and faced outstanding Australian statutory reports for 2024 and 2025 financial years [3]. Nasdaq compliance proceedings for failure to file financial reports and breach of the $1.00 minimum bid price remain outstanding.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IMTE exhibits classic finite-game behavior: serial pivots into unrelated business lines (smart glass, NFTs, halal products, new energy, Web3, Credit AI) without a unifying purpose, failure to file regulatory reports, Nasdaq compliance proceedings, and a $1.68M market cap with 5 employees. CEO turnover (Xiaodong Zhang to Con Unerkov in December 2024) and the rescheduled AGM underscore governance instability. This is a company fighting for survival through random pivots, not playing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IMTE has no articulated Just Cause. The company has pivoted through at least five unrelated business lines — nano-coated filters, electronic glass, halal certification, digital asset marketplaces, and Web3/AI — with no connecting purpose beyond finding any viable business model [2]. This is the opposite of Sinek's infinite game — reactive survival, not purpose-driven persistence.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5 full-time employees, no Glassdoor data, and CEO Con Unerkov serving as both CEO and interim CFO since December 2024 (replacing Xiaodong Zhang), there is insufficient evidence to assess organizational trust. The company's failure to file required SEC reports, outstanding Australian statutory reports for 2024 and 2025, and rescheduled AGM suggest governance dysfunction that would undermine trust even in a team this small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IMTE operates at such a small scale ($72,641 revenue) that competitive dynamics are essentially irrelevant. The company does not meaningfully compete in any of its stated markets and has no discernible competitive awareness or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IMTE has demonstrated excessive flexibility — pivoting from smart glass to halal certification to NFT marketplaces to new energy to Web3 infrastructure to Credit AI. However, in Sinek's framework, flexibility without purpose is chaos, not existential flexibility. None of these pivots have achieved commercial viability or served a Just Cause. The one point acknowledges the willingness to try new directions, even if the execution has been incoherent.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failure to file SEC-required financial reports and outstanding Australian statutory reports for two consecutive years is the opposite of courageous leadership — it reflects either inability or unwillingness to meet basic governance obligations [3]. CEO turnover from Zhang to Unerkov in December 2024, with the new CEO also serving as interim CFO, suggests resource constraints rather than strategic courage. The company's serial pivots into trending sectors (NFTs, halal, Web3, AI) without building competence in any suggest reactive management rather than courageous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credible bull case for IMTE. The company has a $1.68M market cap, $72,641 in annual revenue (2025), 5 employees, and faces ongoing Nasdaq compliance proceedings for failure to file financial reports and breach of the $1.00 minimum bid price [1][3]. The stock trades at $0.49 with daily dollar volume of only ~$141K, making it effectively uninvestable. CEO Con Unerkov serves as both CEO and interim CFO since December 2024, replacing prior CEO Xiaodong Zhang. The company's D/E ratio of 103% reflects $14.4M in debt against only $10,154 in cash — a balance sheet crisis for a company generating $73K annual revenue [4].</w:t>
      </w:r>
    </w:p>
    <w:p>
      <w:pPr>
        <w:spacing w:after="120"/>
      </w:pPr>
      <w:r>
        <w:rPr>
          <w:rFonts w:ascii="Calibri" w:hAnsi="Calibri"/>
          <w:b w:val="0"/>
          <w:color w:val="3A4A28"/>
          <w:sz w:val="20"/>
        </w:rPr>
        <w:t>Every dimension of the bear case is active: the company has no viable business model generating meaningful revenue across any of its five-plus scattered product lines. Serial pivots into unrelated sectors (smart glass, NFTs, halal, new energy, Web3, Credit AI) without achieving scale in any suggest management cannot execute [2]. D/E of 103.2% with $14.4M debt and only $10,154 cash represents catastrophic balance sheet risk — the company cannot service its obligations from operations generating $73K annual revenue. Nasdaq compliance proceedings for filing failures and the $1.00 bid price breach remain unresolved, with the AGM rescheduled in May 2026 to address board composition and share consolidation [3]. Outstanding Australian statutory reports for 2024 and 2025 add regulatory risk in the home jurisdiction. There is no analyst coverage, no institutional ownership, and no discernible path to profitability or business viability.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 credible near-term catalysts — the company must first resolve Nasdaq compliance proceedings, resume timely SEC and Australian statutory filings, and demonstrate revenue growth above subsistence levels before any operational catalysts become relevant [3]</w:t>
      </w:r>
    </w:p>
    <w:p>
      <w:pPr>
        <w:spacing w:before="40" w:after="40"/>
        <w:ind w:left="283"/>
      </w:pPr>
      <w:r>
        <w:rPr>
          <w:rFonts w:ascii="Calibri" w:hAnsi="Calibri"/>
          <w:b/>
          <w:color w:val="4A6B25"/>
          <w:sz w:val="20"/>
        </w:rPr>
        <w:t xml:space="preserve">2. </w:t>
      </w:r>
      <w:r>
        <w:rPr>
          <w:rFonts w:ascii="Calibri" w:hAnsi="Calibri"/>
          <w:b w:val="0"/>
          <w:color w:val="3A4A28"/>
          <w:sz w:val="20"/>
        </w:rPr>
        <w:t>Potential reverse stock split or share consolidation (on AGM agenda) to regain Nasdaq $1.00 bid price compliance, though this would not address underlying business viability issues</w:t>
      </w:r>
    </w:p>
    <w:p>
      <w:pPr>
        <w:spacing w:before="40" w:after="40"/>
        <w:ind w:left="283"/>
      </w:pPr>
      <w:r>
        <w:rPr>
          <w:rFonts w:ascii="Calibri" w:hAnsi="Calibri"/>
          <w:b/>
          <w:color w:val="4A6B25"/>
          <w:sz w:val="20"/>
        </w:rPr>
        <w:t xml:space="preserve">3. </w:t>
      </w:r>
      <w:r>
        <w:rPr>
          <w:rFonts w:ascii="Calibri" w:hAnsi="Calibri"/>
          <w:b w:val="0"/>
          <w:color w:val="3A4A28"/>
          <w:sz w:val="20"/>
        </w:rPr>
        <w:t>Any meaningful revenue generation from Credit AI, electronic glass, or new energy products would represent a material change from the current $73K annual run rate, but no evidence supports near-term commercial traction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proceedings for failure to file annual report (20-F), interim financials, and $1.00 minimum bid price breach — rescheduled AGM and outstanding statutory reports for 2024-2025 compound governance risk [3]</w:t>
      </w:r>
    </w:p>
    <w:p>
      <w:pPr>
        <w:spacing w:before="40" w:after="40"/>
        <w:ind w:left="283"/>
      </w:pPr>
      <w:r>
        <w:rPr>
          <w:rFonts w:ascii="Calibri" w:hAnsi="Calibri"/>
          <w:b/>
          <w:color w:val="4A6B25"/>
          <w:sz w:val="20"/>
        </w:rPr>
        <w:t xml:space="preserve">2. </w:t>
      </w:r>
      <w:r>
        <w:rPr>
          <w:rFonts w:ascii="Calibri" w:hAnsi="Calibri"/>
          <w:b w:val="0"/>
          <w:color w:val="3A4A28"/>
          <w:sz w:val="20"/>
        </w:rPr>
        <w:t>Balance sheet insolvency risk with $14.4M debt against $10,154 cash and $73K annual revenue — D/E of 103% on a $1.68M market cap company represents existential financial risk [4]</w:t>
      </w:r>
    </w:p>
    <w:p>
      <w:pPr>
        <w:spacing w:before="40" w:after="40"/>
        <w:ind w:left="283"/>
      </w:pPr>
      <w:r>
        <w:rPr>
          <w:rFonts w:ascii="Calibri" w:hAnsi="Calibri"/>
          <w:b/>
          <w:color w:val="4A6B25"/>
          <w:sz w:val="20"/>
        </w:rPr>
        <w:t xml:space="preserve">3. </w:t>
      </w:r>
      <w:r>
        <w:rPr>
          <w:rFonts w:ascii="Calibri" w:hAnsi="Calibri"/>
          <w:b w:val="0"/>
          <w:color w:val="3A4A28"/>
          <w:sz w:val="20"/>
        </w:rPr>
        <w:t>5 full-time employees and $72,641 annual revenue across 5+ unrelated business lines with no viable path to commercial scale in any market — effectively a shell company with regulatory compliance failures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IMTE's scattered business lines face varied but largely irrelevant AI exposure given the company's $72,641 revenue scale. The digital asset marketplace competes in a space where AI-powered trading platforms and automated market makers are rapidly advancing. The nano-coated filter and electronic glass manufacturing are physical-world operations with some AI protection, but at negligible revenue, the business lacks any competitive moat [1]. The halal certification business involves regulatory processes that AI document processing could streamline, reducing barriers to entry. No analyst coverage exists to provide AI disruption assessment. EXPOSED rating reflects fragmented micro-scale business with no competitive moats in any segment. AI Opportunity (0/1): No meaningful AI revenue despite the Credit AI launch through Greifenberg Digital — the 5-employee company lacks the scale to commercialize AI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IMTE Financial Data — SEC 6-K Filing (H1 2025: $50,580 revenue, +16% YoY), GuruFocus ($72,641 annual revenue 2025),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Integrated Media Technology Corporate Website, Credit AI / Greifenberg Digital, Business Operations — imtechltd.com, Simply Wall St, dcf-model.com,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Nasdaq Compliance — AGM Rescheduled May 2026 (board seats, ESOP, share consolidation), Outstanding Australian Statutory Reports 2024-2025, Bid Price Compliance — TipRanks / SEC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IMTE Key Statistics: D/E 103.2%, ROE -1.94%, Market Cap $1.68M, Stock Price $0.49, 5 Employees, $10,154 Cash,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