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INCY</w:t>
      </w:r>
      <w:r>
        <w:rPr>
          <w:rFonts w:ascii="Calibri" w:hAnsi="Calibri"/>
          <w:b/>
          <w:color w:val="1A2010"/>
          <w:sz w:val="40"/>
        </w:rPr>
        <w:t xml:space="preserve">  Incyte Corporation</w:t>
      </w:r>
    </w:p>
    <w:p>
      <w:pPr>
        <w:spacing w:after="120"/>
      </w:pPr>
      <w:r>
        <w:rPr>
          <w:rFonts w:ascii="Calibri" w:hAnsi="Calibri"/>
          <w:b/>
          <w:color w:val="6E8450"/>
          <w:sz w:val="18"/>
        </w:rPr>
        <w:t>GROWTH SLEEVE · 2026-09-13 · Inspire: 45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Incyte Corporation is a global biopharmaceutical company focused on the discovery, development, and commercialization of medicines for serious medical needs in oncology, dermatology, and inflammation. The portfolio includes Jakafi/Jakafi XR (ruxolitinib) for myelofibrosis and polycythemia vera, Opzelura (ruxolitinib cream) for atopic dermatitis and vitiligo, Niktimvo for chronic GVHD, and Zynyz for Merkel cell carcinoma. Under new CEO Bill Meury, Incyte is executing an aggressive diversification strategy ahead of the 2028 Jakafi patent cliff. Q2 2026 total revenues reached $1.67B (+38% YoY) with raised FY2026 guidance to $5.13-$5.26B. Founded in 1991, headquartered in Wilmington, Delaware.</w:t>
      </w:r>
    </w:p>
    <w:p>
      <w:r>
        <w:rPr>
          <w:rFonts w:ascii="Calibri" w:hAnsi="Calibri"/>
          <w:b/>
          <w:color w:val="6E8450"/>
          <w:sz w:val="18"/>
        </w:rPr>
        <w:t>2,844 Employees · https://www.incyte.com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Incyte has successfully commercialized multiple new products beyond its foundational Jakafi franchise, with Q2 2026 demonstrating accelerating portfolio diversification: Opzelura surged to $450M in Q2 sales (+173% YoY, $204M or +24% excluding a one-time non-cash benefit), and Jakafi held at $817M (+7%) [1]. Raised FY2026 Opzelura guidance from $750-790M to $1.05-1.10B reflects breakthrough commercial execution [1]. However, all products remain JAK-pathway extensions rather than a fundamentally new therapeutic modality. AI Deployment (1/2): CEO Bill Meury and R&amp;D leadership describe AI as 'force multipliers for human judgment' in drug discovery, with AI-driven approaches advancing mutCALR antibody, CDK2, KRASG12D, and TGFbetaR2xPD1 pipeline programs [3]. No specific AI-generated cost savings or revenue have been quantified. Market Share (2/2): Jakafi is the dominant JAK inhibitor for myelofibrosis and polycythemia vera at $817M quarterly sales, and Opzelura is a category-defining topical JAK inhibitor with a positive CHMP opinion for moderate atopic dermatitis in Europe, potentially becoming the first topical JAK inhibitor available in Europe for AD [1]. Product Pipeline (2/2): Ten clinical data readouts expected in H2 2026, including Jakafi XR (FDA decision pending), povorcitinib (positive Phase 3 vitiligo data), CDK2 inhibitor, KRASG12D inhibitor, and TGFbetaR2xPD1 bispecific — all with named targets and development timelines [1]. European Opzelura AD approval anticipated Q3 2026. R&amp;D Intensity (1/1): R&amp;D and SG&amp;A guidance of $3.5-3.7B on approximately $5.2B product revenue represents exceptional R&amp;D intensity well above biopharma industry averages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Incyte's purpose — 'redefining what's possible in biopharmaceutical innovation through deep scientific expertise and a relentless focus on patients' — is clear and identifies the company's aspiration, but is largely interchangeable with any innovative biopharma company's mission [3]. It does not articulate a distinctive vision beyond standard pharmaceutical industry language. Community Impact (1/2): Incyte publishes an annual Global Responsibility Report with improved ESG ratings from S&amp;P Global, MSCI, and Sustainalytics [5]. However, the $12.6M False Claims Act settlement for using a foundation to funnel Medicare patient copay assistance for Jakafi undermines community engagement credibility [5]. Employee Retention (1/2): CEO Meury emphasizes 'You can't solve bureaucracy through structure and process. You have to solve through the attitudes of exceptional leaders,' and describes Incyte as built on strong hiring decisions and culture [3]. The smooth CEO transition from Hoppenot to Meury suggests organizational stability. With only 2,844 employees, Incyte maintains a focused entrepreneurial culture. However, specific retention data is unavailable. Insider Buying (0/2): No evidence of meaningful net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 all core and growth metrics at or near maximum. Q2 2026 delivered $1.67B in total revenue (+38% YoY), a dramatic acceleration from Q1's 21% growth driven by the Opzelura ramp and one-time benefit [1]. FY2026 product revenue guidance raised to $5.13-5.26B (from $4.77-4.94B) [1]. The balance sheet is fortress-grade: D/E of essentially 0% with $4.02B in cash against only $39M in debt [6]. ROE of 30.82% is double the 15% target. Profit margin of 26.71% exceeds the 20% target. Forward P/E of 12.31 is well below the 20x target, reflecting both value and market concern about the 2028 Jakafi patent cliff [6]. Forward PEG of 0.97 is at target, indicating the market is pricing growth fairly. Revenue growth of 38% YoY (Q2) and 5yr CAGR of approximately 13% both exceed targets. Liquidity floor easily cleared with ~1.9M shares daily at ~$125/share (~$240M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Incyte demonstrates meaningful infinite game characteristics: a 30+ year focus on JAK inhibitor biology, heavy R&amp;D investment ($3.5-3.7B guidance) despite the approaching 2028 Jakafi patent cliff, and a smooth CEO transition suggesting institutional purpose beyond any one leader. The company is playing to keep playing by diversifying its portfolio ahead of the patent cliff rather than milking Jakafi through expiration. New CEO Meury's philosophy — solving through 'attitudes of exceptional leaders' rather than bureaucracy — reflects culture-first thinking. However, the lack of a distinctive Just Cause beyond standard pharma language and the $12.6M False Claims Act settlement limit the infinite game score.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Incyte's focus on discovering medicines for serious unmet medical needs has guided the company for 30+ years, from its founding through the long ruxolitinib development journey to the current multi-product portfolio [3]. The smooth CEO transition from Hoppenot to Meury suggests the cause transcends individual leadership. Strategic decisions — investing $3.5-3.7B in R&amp;D despite the Jakafi patent cliff, expanding into dermatology and oncology — trace back to this purpose. However, the cause is expressed in generic pharma language rather than as a distinctive Sinek-level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Meury emphasizes solving through 'attitudes of exceptional leaders' and views the organization as 'a living ecosystem where culture and business strategy must be aligned' [3]. Incyte recently appointed new HR leadership to influence organizational growth approach, signaling investment in employee experience. The small team size (2,844 employees) enables tighter cultural cohesion than large pharma peers. However, specific retention or tenure data to validate these cultural claims was not identified.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Incyte competes with significantly larger pharma companies (AbbVie, Novartis, BMS) and frames competition as motivation to innovate rather than a zero-sum battle [3]. The pipeline strategy — advancing novel mechanisms (CDK2, KRASG12D, TGFbetaR2xPD1) alongside JAK inhibitors — reflects learning from competitors' therapeutic advances. The decision to position Opzelura against established dermatology franchises demonstrates competitive self-awareness oriented toward product excellence.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Incyte is actively diversifying from Jakafi dependency, with the ex-Jakafi portfolio growing dramatically: Opzelura guidance raised to $1.05-1.10B (from $750-790M), and Jakafi's share of product revenue declining as other products scale [1]. Q2 2026 total revenue of $1.67B with Jakafi at $817M shows Jakafi is now under 50% of quarterly revenue when including royalties and milestones. The European AD opportunity for Opzelura (CHMP positive opinion) represents geographic diversification. This is a significant adaptation but not yet a transformative reinvention — the company remains fundamentally a JAK-pathway specialist.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Incyte's decision to invest $3.5-3.7B in R&amp;D and SG&amp;A — more than 70% of product revenue — while the Jakafi patent cliff approaches in 2028 demonstrates willingness to sacrifice near-term earnings for long-term portfolio resilience [1]. The company is building multiple product launches simultaneously, accepting operating expense pressure to create future revenue streams. CEO Meury's appointment with M&amp;A expertise signals strategic ambition beyond organic pipeline. However, the $12.6M False Claims Act settlement suggests not all past commercial decisions reflected principled leadership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Incyte delivered a blowout Q2 2026 with $1.67B total revenue (+38% YoY) driven by Opzelura's breakout quarter ($450M including a one-time non-cash benefit, $204M or +24% organic) alongside steady Jakafi performance ($817M, +7%) [1]. FY2026 product revenue guidance was raised to $5.13-5.26B (from $4.77-4.94B), with Opzelura specifically raised to $1.05-1.10B, positioning it as a potential blockbuster franchise [1]. The balance sheet is fortress-grade: $4.02B in cash, virtually zero debt, and 30.8% ROE reflect exceptional capital efficiency [6]. At 12.3x forward earnings and PEG of 0.97, the stock offers rare growth-at-value in biopharma, with ten H2 2026 pipeline readouts (including European Opzelura AD approval expected Q3) providing multiple near-term catalysts. The company's 26.7% profit margin demonstrates operating leverage as the multi-product portfolio scales.</w:t>
      </w:r>
    </w:p>
    <w:p>
      <w:pPr>
        <w:spacing w:after="120"/>
      </w:pPr>
      <w:r>
        <w:rPr>
          <w:rFonts w:ascii="Calibri" w:hAnsi="Calibri"/>
          <w:b w:val="0"/>
          <w:color w:val="3A4A28"/>
          <w:sz w:val="20"/>
        </w:rPr>
        <w:t>The dominant risk remains the 2028 Jakafi patent cliff. Jakafi generated $817M in Q2 2026, and generic ruxolitinib will erode this revenue stream starting in 2028, potentially creating a $3B+ annual headwind [1]. While diversification is accelerating — raised Opzelura guidance to $1.05-1.10B and growing pipeline revenue — the replacement products may not scale fast enough to fully offset erosion. The Q2 revenue beat was partially driven by a one-time non-cash Opzelura benefit ($246M of the $450M reported), making the underlying growth trajectory less certain [1]. R&amp;D and SG&amp;A spending of $3.5-3.7B is an enormous bet on pipeline programs whose clinical success is inherently uncertain, with ten H2 readouts each carrying binary risk. CEO Meury's M&amp;A background raises the possibility of a transformative acquisition that could introduce integration risk. The $12.6M False Claims Act settlement for Medicare copay practices creates modest reputational overhang [5]. The Inspire Impact Score of 45 (ALIGNED) is a positive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Opzelura European approval for moderate atopic dermatitis expected Q3 2026 following positive CHMP opinion, opening a large new geographic market and potentially adding $500M+ in annual revenue at peak [1]</w:t>
      </w:r>
    </w:p>
    <w:p>
      <w:pPr>
        <w:spacing w:before="40" w:after="40"/>
        <w:ind w:left="283"/>
      </w:pPr>
      <w:r>
        <w:rPr>
          <w:rFonts w:ascii="Calibri" w:hAnsi="Calibri"/>
          <w:b/>
          <w:color w:val="4A6B25"/>
          <w:sz w:val="20"/>
        </w:rPr>
        <w:t xml:space="preserve">2. </w:t>
      </w:r>
      <w:r>
        <w:rPr>
          <w:rFonts w:ascii="Calibri" w:hAnsi="Calibri"/>
          <w:b w:val="0"/>
          <w:color w:val="3A4A28"/>
          <w:sz w:val="20"/>
        </w:rPr>
        <w:t>Ten H2 2026 clinical data readouts including Jakafi XR (lifecycle extension), povorcitinib (vitiligo), CDK2, and KRASG12D — each offering potential portfolio expansion ahead of the 2028 Jakafi patent cliff [1]</w:t>
      </w:r>
    </w:p>
    <w:p>
      <w:pPr>
        <w:spacing w:before="40" w:after="40"/>
        <w:ind w:left="283"/>
      </w:pPr>
      <w:r>
        <w:rPr>
          <w:rFonts w:ascii="Calibri" w:hAnsi="Calibri"/>
          <w:b/>
          <w:color w:val="4A6B25"/>
          <w:sz w:val="20"/>
        </w:rPr>
        <w:t xml:space="preserve">3. </w:t>
      </w:r>
      <w:r>
        <w:rPr>
          <w:rFonts w:ascii="Calibri" w:hAnsi="Calibri"/>
          <w:b w:val="0"/>
          <w:color w:val="3A4A28"/>
          <w:sz w:val="20"/>
        </w:rPr>
        <w:t>Raised FY2026 product revenue guidance to $5.13-5.26B (+8% at midpoint from prior guidance) with Opzelura tracking toward $1B+ annual revenue, demonstrating diversification momentum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Jakafi 2028 patent cliff threatens the $817M quarterly revenue stream ($3.2B+ annualized) — generic ruxolitinib will create a massive headwind that Opzelura and pipeline products may not fully offset in time [1]</w:t>
      </w:r>
    </w:p>
    <w:p>
      <w:pPr>
        <w:spacing w:before="40" w:after="40"/>
        <w:ind w:left="283"/>
      </w:pPr>
      <w:r>
        <w:rPr>
          <w:rFonts w:ascii="Calibri" w:hAnsi="Calibri"/>
          <w:b/>
          <w:color w:val="4A6B25"/>
          <w:sz w:val="20"/>
        </w:rPr>
        <w:t xml:space="preserve">2. </w:t>
      </w:r>
      <w:r>
        <w:rPr>
          <w:rFonts w:ascii="Calibri" w:hAnsi="Calibri"/>
          <w:b w:val="0"/>
          <w:color w:val="3A4A28"/>
          <w:sz w:val="20"/>
        </w:rPr>
        <w:t>Q2 Opzelura revenue of $450M included a $246M one-time non-cash benefit, making the true organic run-rate ($204M quarterly) significantly lower than the headline figure suggests [1]</w:t>
      </w:r>
    </w:p>
    <w:p>
      <w:pPr>
        <w:spacing w:before="40" w:after="40"/>
        <w:ind w:left="283"/>
      </w:pPr>
      <w:r>
        <w:rPr>
          <w:rFonts w:ascii="Calibri" w:hAnsi="Calibri"/>
          <w:b/>
          <w:color w:val="4A6B25"/>
          <w:sz w:val="20"/>
        </w:rPr>
        <w:t xml:space="preserve">3. </w:t>
      </w:r>
      <w:r>
        <w:rPr>
          <w:rFonts w:ascii="Calibri" w:hAnsi="Calibri"/>
          <w:b w:val="0"/>
          <w:color w:val="3A4A28"/>
          <w:sz w:val="20"/>
        </w:rPr>
        <w:t>R&amp;D and SG&amp;A guidance of $3.5-3.7B represents over 70% of product revenue, creating significant operating expense pressure that depends on clinical success across ten H2 readouts, each carrying binary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Drug development requires physical clinical trials, FDA regulatory approval, GMP manufacturing, and physician-patient prescribing relationships — none of which AI can substitute [3]. Incyte's moats include proprietary JAK inhibitor expertise, established clinical data packages (Jakafi has 15+ years of safety/efficacy data), and FDA-approved indications that require years of costly development to replicate. However, AI-powered drug discovery could enable smaller competitors to more efficiently discover novel molecules targeting the same pathways, potentially accelerating competitive threats. AI-driven precision medicine platforms that better match patients to therapies could also shift prescribing patterns away from broad-indication drugs toward more targeted alternatives. The pharma industry is not structurally at risk from AI, but AI reshapes the competitive landscape within pharma. AI Opportunity (0/1): While Incyte describes AI as a 'force multiplier' in drug discovery and uses AI-driven approaches in pipeline programs (CDK2, KRASG12D), no specific AI-generated revenue or quantified R&amp;D cost savings have been reported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Incyte Q2 2026 Earnings Release — Total Revenue $1.67B (+38% YoY), Jakafi $817M, Opzelura $450M, Raised FY2026 Guidance to $5.13-5.26B, Opzelura to $1.05-1.10B, Ten H2 Readouts, July 2026</w:t>
      </w:r>
    </w:p>
    <w:p>
      <w:pPr>
        <w:spacing w:before="20" w:after="20"/>
        <w:ind w:left="170"/>
      </w:pPr>
      <w:r>
        <w:rPr>
          <w:rFonts w:ascii="Calibri" w:hAnsi="Calibri"/>
          <w:b/>
          <w:color w:val="4A6B25"/>
          <w:sz w:val="15"/>
        </w:rPr>
        <w:t xml:space="preserve">2. </w:t>
      </w:r>
      <w:r>
        <w:rPr>
          <w:rFonts w:ascii="Calibri" w:hAnsi="Calibri"/>
          <w:b w:val="0"/>
          <w:color w:val="3A4A28"/>
          <w:sz w:val="17"/>
        </w:rPr>
        <w:t>Incyte Q2 2026 10-Q Filing — Financial Statements, Pipeline Updates, European Opzelura CHMP Positive Opinion, SEC, August 2026</w:t>
      </w:r>
    </w:p>
    <w:p>
      <w:pPr>
        <w:spacing w:before="20" w:after="20"/>
        <w:ind w:left="170"/>
      </w:pPr>
      <w:r>
        <w:rPr>
          <w:rFonts w:ascii="Calibri" w:hAnsi="Calibri"/>
          <w:b/>
          <w:color w:val="4A6B25"/>
          <w:sz w:val="15"/>
        </w:rPr>
        <w:t xml:space="preserve">3. </w:t>
      </w:r>
      <w:r>
        <w:rPr>
          <w:rFonts w:ascii="Calibri" w:hAnsi="Calibri"/>
          <w:b w:val="0"/>
          <w:color w:val="3A4A28"/>
          <w:sz w:val="17"/>
        </w:rPr>
        <w:t>Incyte CEO Bill Meury on Leadership, Culture, AI in Drug Discovery, Pipeline Strategy — Inquirer, Fierce Pharma, Simply Wall St, 2025-2026</w:t>
      </w:r>
    </w:p>
    <w:p>
      <w:pPr>
        <w:spacing w:before="20" w:after="20"/>
        <w:ind w:left="170"/>
      </w:pPr>
      <w:r>
        <w:rPr>
          <w:rFonts w:ascii="Calibri" w:hAnsi="Calibri"/>
          <w:b/>
          <w:color w:val="4A6B25"/>
          <w:sz w:val="15"/>
        </w:rPr>
        <w:t xml:space="preserve">4. </w:t>
      </w:r>
      <w:r>
        <w:rPr>
          <w:rFonts w:ascii="Calibri" w:hAnsi="Calibri"/>
          <w:b w:val="0"/>
          <w:color w:val="3A4A28"/>
          <w:sz w:val="17"/>
        </w:rPr>
        <w:t>Incyte Q2 2026 Earnings Call Transcript — Revenue Guidance Raise, Opzelura Trajectory, Pipeline Priorities, Yahoo Finance, July 2026</w:t>
      </w:r>
    </w:p>
    <w:p>
      <w:pPr>
        <w:spacing w:before="20" w:after="20"/>
        <w:ind w:left="170"/>
      </w:pPr>
      <w:r>
        <w:rPr>
          <w:rFonts w:ascii="Calibri" w:hAnsi="Calibri"/>
          <w:b/>
          <w:color w:val="4A6B25"/>
          <w:sz w:val="15"/>
        </w:rPr>
        <w:t xml:space="preserve">5. </w:t>
      </w:r>
      <w:r>
        <w:rPr>
          <w:rFonts w:ascii="Calibri" w:hAnsi="Calibri"/>
          <w:b w:val="0"/>
          <w:color w:val="3A4A28"/>
          <w:sz w:val="17"/>
        </w:rPr>
        <w:t>Incyte $12.6M False Claims Act Settlement, 2024 Global Responsibility Report, ESG Ratings — DOJ, Incyte Investor Relations</w:t>
      </w:r>
    </w:p>
    <w:p>
      <w:pPr>
        <w:spacing w:before="20" w:after="20"/>
        <w:ind w:left="170"/>
      </w:pPr>
      <w:r>
        <w:rPr>
          <w:rFonts w:ascii="Calibri" w:hAnsi="Calibri"/>
          <w:b/>
          <w:color w:val="4A6B25"/>
          <w:sz w:val="15"/>
        </w:rPr>
        <w:t xml:space="preserve">6. </w:t>
      </w:r>
      <w:r>
        <w:rPr>
          <w:rFonts w:ascii="Calibri" w:hAnsi="Calibri"/>
          <w:b w:val="0"/>
          <w:color w:val="3A4A28"/>
          <w:sz w:val="17"/>
        </w:rPr>
        <w:t>GuruFocus, StockAnalysis, Yahoo Finance — INCY Key Statistics: Forward P/E 12.31, ROE 30.82%, Profit Margin 26.71%, D/E 0.01, PEG 0.97,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