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INDI</w:t>
      </w:r>
      <w:r>
        <w:rPr>
          <w:rFonts w:ascii="Calibri" w:hAnsi="Calibri"/>
          <w:b/>
          <w:color w:val="1A2010"/>
          <w:sz w:val="40"/>
        </w:rPr>
        <w:t xml:space="preserve">  indie Semiconductor, Inc.</w:t>
      </w:r>
    </w:p>
    <w:p>
      <w:pPr>
        <w:spacing w:after="120"/>
      </w:pPr>
      <w:r>
        <w:rPr>
          <w:rFonts w:ascii="Calibri" w:hAnsi="Calibri"/>
          <w:b/>
          <w:color w:val="6E8450"/>
          <w:sz w:val="18"/>
        </w:rPr>
        <w:t>GROWTH SLEEVE · 2026-08-28 · Inspire: 52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indie Semiconductor, Inc. designs, develops, and markets automotive semiconductors and software solutions for advanced driver assistance systems (ADAS), autonomous vehicles, connected car, user experience, and electrification applications. Products include mixed-signal SoCs with AI/ML acceleration, radar chipsets, ultrasonic sensors, LiDAR, and camera solutions for Tier 1 automotive suppliers and OEMs globally. Q2 2026 revenue reached $64M (+24% YoY) with Q3 guidance of $67-73M (+30% YoY), demonstrating accelerating growth momentum.</w:t>
      </w:r>
    </w:p>
    <w:p>
      <w:r>
        <w:rPr>
          <w:rFonts w:ascii="Calibri" w:hAnsi="Calibri"/>
          <w:b/>
          <w:color w:val="6E8450"/>
          <w:sz w:val="18"/>
        </w:rPr>
        <w:t>2,000 Employees · https://www.indie.inc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indie executed multiple strategic acquisitions (GEO Semiconductor, Symeo, TeraXion) over the past 5 years to build a full-stack ADAS portfolio spanning radar, LiDAR, vision, and ultrasonic sensors, transforming from a niche mixed-signal IC vendor into a comprehensive autotech platform [1][2]. Q2 2026 revenue reached $64M (+24% YoY), with Q3 guidance of $67-73M implying 30% YoY growth acceleration [1]. AI Deployment (1/2): indie's SoCs incorporate AI/ML processor acceleration for edge inference in ADAS applications, shipping in production vehicles through Tier 1 partners. However, no quantified AI-specific revenue is separately disclosed [2]. Market Share (2/2): indie has established itself as the leading pure-play automotive semiconductor company with a $7.4B strategic design wins backlog, winning sockets across major OEMs for radar, vision, and sensor fusion applications in a niche they have defined [1][3]. Product Pipeline (1/2): New edge AI chip platform announced June 2026 and Q3 guidance of $67-73M (+30% YoY) signal active pipeline development and improving revenue trajectory, though the company remains pre-profitability with vague timelines on next-gen platforms [1]. R&amp;D Intensity (1/1): R&amp;D spending represents approximately 55% of quarterly revenue, well above semiconductor industry averages, reflecting aggressive investment in next-generation automotive silicon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indie's stated purpose is to 'empower the automotive revolution through best-in-class technology innovation,' which is clear and sector-specific but not deeply distinctive — it reads as a well-articulated industry positioning statement rather than a transformative Just Cause [2]. Community Impact (1/2): indie publishes annual ESG reports since 2023 with specific programs including the Global Inclusion Diversity and Equity (GIDE) council and Global League of Opportunities for Women (GLOW), demonstrating genuine investment in social initiatives aligned with its workforce [3]. Employee Retention (1/2): Co-founder CEO Donald McClymont has led the company for 18+ years providing strategic continuity. Glassdoor rating of 4.2/5 with culture score of 4.3 — employees cite 'amazing work culture,' freedom to grow, and no office politics [3]. Insider Buying (0/2): Net insider selling in the past 12 months; no insider purchases were recorded. Co-founder Ichiro Aoki sold shares under a pre-planned Rule 10b5-1 trading plan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indie remains deeply unprofitable with a -64.79% net profit margin and -41.16% ROE, both scoring 0.0 in the infrastructure algorithm [1][4]. D/E of 123% scores 0.77, reflecting increased leverage from prior periods. Revenue growth YoY accelerated to 24% in Q2 2026 (scoring 1.0), with Q3 guidance of 30% YoY growth signaling further acceleration [1]. The 5-year revenue CAGR of approximately 57% scores 1.0 (2x weight), reflecting rapid growth from a small base post-SPAC through organic expansion and acquisitions. Forward P/E and PEG ratio are excluded as the company has negative earnings. Liquidity well above floor: avg daily volume of 4.3M shares at $4.07 = $17.5M daily traded value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indie Semiconductor demonstrates meaningful infinite game characteristics through its founder-led 18-year journey and consistent investment in building a comprehensive autotech platform, even at the cost of sustained near-term losses exceeding $150M annually. The company has shown existential flexibility in transforming from a narrow mixed-signal IC vendor to a full ADAS semiconductor platform through strategic acquisitions. Glassdoor culture scores of 4.2/5 and employees citing 'amazing work culture' suggest genuine organizational trust. However, the company has not yet been tested through a severe downturn as a public entity.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indie's purpose of enabling the automotive revolution through semiconductor innovation is genuine and has guided consistent strategic decisions over 18 years under co-founder CEO McClymont — the acquisitions of GEO, Symeo, and TeraXion all trace back to building a comprehensive ADAS platform [2]. Revenue acceleration from 3% in Q1 to 24% in Q2 and 30% guided for Q3 2026 suggests the cause is translating into execution [1]. However, the cause has not yet been validated through multi-decade execution across market cycles as a public company.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indie's co-founder leadership model with 18-year CEO tenure suggests organizational stability, and co-founder Ichiro Aoki's smooth transition from President to Board advisor indicates healthy succession planning [2]. Glassdoor rating of 4.2/5 with culture score of 4.3 and employee comments citing 'amazing work culture,' freedom to grow, and no red tape suggest adequate organizational trust [3]. However, the company has grown rapidly through acquisitions, and integration challenges are inherent.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indie positions itself as a pure-play autotech innovator competing against much larger rivals (NXP, Texas Instruments, Mobileye) and uses their scale advantage as motivation to differentiate through specialization and integration rather than trying to match their breadth [2]. The company's competitive language focuses on its unique full-stack ADAS capability rather than defeating specific competitors, reflecting self-improvement over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indie has evolved significantly from a narrow mixed-signal IC company to a comprehensive automotive semiconductor platform through serial acquisitions (GEO for vision processing, Symeo for radar, TeraXion for photonics), each expanding its addressable market and ADAS capability [2]. These were incremental, strategic extensions of the core automotive mission rather than a transformative pivot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indie's leadership has shown willingness to sustain heavy losses (non-GAAP operating loss of $8.9M in Q2 2026, improving from -$14.5M a year ago) while investing in R&amp;D at 55% of revenue to build a comprehensive ADAS platform [1][2]. The decision to pursue multiple acquisitions while pre-profit required conviction. The $7.4B design win backlog suggests the strategy is gaining traction. However, investments are funded substantially by debt and equity dilution rather than cash flow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indie Semiconductor is a pure-play automotive semiconductor company with a $7.4B strategic design win backlog driven by ADAS, autonomous driving, and vehicle electrification megatrends [1]. Revenue growth is accelerating sharply — Q2 2026 delivered $64M (+24% YoY) exceeding guidance, with Q3 guided at $67-73M (+30% YoY) [1]. Non-GAAP operating loss narrowed to $8.9M from $14.5M a year ago, representing significant progress toward profitability. The full-stack product portfolio spanning radar, LiDAR, vision, ultrasonic sensors, and AI-accelerated SoCs positions indie uniquely among smaller semiconductor peers. R&amp;D intensity of 55% of revenue reflects aggressive investment in next-generation edge AI chips for automotive applications, and the Inspire Impact Score of 52 (ALIGNED) adds appeal for faith-based investors.</w:t>
      </w:r>
    </w:p>
    <w:p>
      <w:pPr>
        <w:spacing w:after="120"/>
      </w:pPr>
      <w:r>
        <w:rPr>
          <w:rFonts w:ascii="Calibri" w:hAnsi="Calibri"/>
          <w:b w:val="0"/>
          <w:color w:val="3A4A28"/>
          <w:sz w:val="20"/>
        </w:rPr>
        <w:t>The bear case centers on indie's persistent unprofitability — the company has -64.79% net margins, -41.16% ROE, and D/E of 123% [4]. While losses are narrowing, the path to GAAP profitability remains uncertain and dependent on revenue scale. The stock trades at $4.07, down from a 52-week high of $6.05, and insiders have been net sellers in the past year [4]. Revenue growth stalled at 0.33% YoY in FY2025 before the recent acceleration, and the company must demonstrate it can convert its $7.4B backlog into profitable revenue at scale. Competition from NXP ($13B+ revenue), Texas Instruments, and Mobileye with vastly greater resources poses ongoing margin and market share risk. The fabless model creates supply chain dependency, and any automotive production cycle downturn could compress the revenue trajectory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accelerating from 3% (Q1) to 24% (Q2) to 30% guided (Q3), with the $7.4B design backlog beginning to convert to production revenue as OEM ADAS programs ramp through 2026-2028 [1]</w:t>
      </w:r>
    </w:p>
    <w:p>
      <w:pPr>
        <w:spacing w:before="40" w:after="40"/>
        <w:ind w:left="283"/>
      </w:pPr>
      <w:r>
        <w:rPr>
          <w:rFonts w:ascii="Calibri" w:hAnsi="Calibri"/>
          <w:b/>
          <w:color w:val="4A6B25"/>
          <w:sz w:val="20"/>
        </w:rPr>
        <w:t xml:space="preserve">2. </w:t>
      </w:r>
      <w:r>
        <w:rPr>
          <w:rFonts w:ascii="Calibri" w:hAnsi="Calibri"/>
          <w:b w:val="0"/>
          <w:color w:val="3A4A28"/>
          <w:sz w:val="20"/>
        </w:rPr>
        <w:t>Non-GAAP operating loss narrowing rapidly ($8.9M in Q2 vs $14.5M year-ago), suggesting a path to non-GAAP operating profitability as revenue scales past the $70M quarterly threshold [1]</w:t>
      </w:r>
    </w:p>
    <w:p>
      <w:pPr>
        <w:spacing w:before="40" w:after="40"/>
        <w:ind w:left="283"/>
      </w:pPr>
      <w:r>
        <w:rPr>
          <w:rFonts w:ascii="Calibri" w:hAnsi="Calibri"/>
          <w:b/>
          <w:color w:val="4A6B25"/>
          <w:sz w:val="20"/>
        </w:rPr>
        <w:t xml:space="preserve">3. </w:t>
      </w:r>
      <w:r>
        <w:rPr>
          <w:rFonts w:ascii="Calibri" w:hAnsi="Calibri"/>
          <w:b w:val="0"/>
          <w:color w:val="3A4A28"/>
          <w:sz w:val="20"/>
        </w:rPr>
        <w:t>New edge AI chip platform announced June 2026 targeting next-generation autonomous driving applications, potentially opening a higher-margin product category and expanding the addressable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GAAP unprofitability with -64.79% net margin, -41.16% ROE, and D/E of 123% creates liquidity risk if automotive production ramps disappoint or capital markets tighten [4]</w:t>
      </w:r>
    </w:p>
    <w:p>
      <w:pPr>
        <w:spacing w:before="40" w:after="40"/>
        <w:ind w:left="283"/>
      </w:pPr>
      <w:r>
        <w:rPr>
          <w:rFonts w:ascii="Calibri" w:hAnsi="Calibri"/>
          <w:b/>
          <w:color w:val="4A6B25"/>
          <w:sz w:val="20"/>
        </w:rPr>
        <w:t xml:space="preserve">2. </w:t>
      </w:r>
      <w:r>
        <w:rPr>
          <w:rFonts w:ascii="Calibri" w:hAnsi="Calibri"/>
          <w:b w:val="0"/>
          <w:color w:val="3A4A28"/>
          <w:sz w:val="20"/>
        </w:rPr>
        <w:t>Revenue growth acceleration from Q2 2026 must prove sustainable — FY2025 showed only 0.33% annual growth despite heavy R&amp;D investment, raising questions about whether Q2-Q3 momentum is cyclical or structural [1]</w:t>
      </w:r>
    </w:p>
    <w:p>
      <w:pPr>
        <w:spacing w:before="40" w:after="40"/>
        <w:ind w:left="283"/>
      </w:pPr>
      <w:r>
        <w:rPr>
          <w:rFonts w:ascii="Calibri" w:hAnsi="Calibri"/>
          <w:b/>
          <w:color w:val="4A6B25"/>
          <w:sz w:val="20"/>
        </w:rPr>
        <w:t xml:space="preserve">3. </w:t>
      </w:r>
      <w:r>
        <w:rPr>
          <w:rFonts w:ascii="Calibri" w:hAnsi="Calibri"/>
          <w:b w:val="0"/>
          <w:color w:val="3A4A28"/>
          <w:sz w:val="20"/>
        </w:rPr>
        <w:t>Competition from substantially larger semiconductor companies (NXP, TI, Mobileye) with superior manufacturing scale, customer relationships, and balance sheet resources threatens indie's niche positioning as the market matures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 PROTECTED): indie's core business — designing physical semiconductor chips for automotive ADAS, radar, LiDAR, and vision systems — is structurally protected from AI disruption. Autonomous driving requires custom silicon for real-time edge processing in safety-critical applications where latency, power efficiency, and automotive-grade reliability (AEC-Q100, ISO 26262) are non-negotiable [1][2]. AI expansion directly increases demand for indie's products — more ADAS features per vehicle means more sensor processing chips. Physical chip design and automotive qualification create substantial barriers that AI cannot bypass. Some competitive pressure from larger semiconductor players (NXP, TI, Mobileye) with greater scale, but this is business competition, not AI disruption [2]. AI Opportunity (1/1): indie directly generates revenue from AI-enabled products — its SoCs incorporate AI/ML acceleration for ADAS applications including object detection, sensor fusion, and autonomous driving inference at the edge, representing the company's core product offering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indie Semiconductor Q2 2026 Earnings Release — Revenue $64M (+24% YoY), Non-GAAP Operating Loss $8.9M, Q3 Guidance $67-73M (+30% YoY), July 2026</w:t>
      </w:r>
    </w:p>
    <w:p>
      <w:pPr>
        <w:spacing w:before="20" w:after="20"/>
        <w:ind w:left="170"/>
      </w:pPr>
      <w:r>
        <w:rPr>
          <w:rFonts w:ascii="Calibri" w:hAnsi="Calibri"/>
          <w:b/>
          <w:color w:val="4A6B25"/>
          <w:sz w:val="15"/>
        </w:rPr>
        <w:t xml:space="preserve">2. </w:t>
      </w:r>
      <w:r>
        <w:rPr>
          <w:rFonts w:ascii="Calibri" w:hAnsi="Calibri"/>
          <w:b w:val="0"/>
          <w:color w:val="3A4A28"/>
          <w:sz w:val="17"/>
        </w:rPr>
        <w:t>indie Semiconductor Company Profile, Executive Team, and Mission — indie.inc,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indie Semiconductor 2024 ESG Report and Glassdoor Reviews — Culture Rating 4.2/5, ESG Alignment with UN SDGs, 2024</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INDI Key Statistics: Stock Price $4.07, Market Cap $852.5M, D/E 123%, ROE -41.16%, Profit Margin -64.79%,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