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INDO</w:t>
      </w:r>
      <w:r>
        <w:rPr>
          <w:rFonts w:ascii="Calibri" w:hAnsi="Calibri"/>
          <w:b/>
          <w:color w:val="1A2010"/>
          <w:sz w:val="40"/>
        </w:rPr>
        <w:t xml:space="preserve">  Indonesia Energy Corporation Limited</w:t>
      </w:r>
    </w:p>
    <w:p>
      <w:pPr>
        <w:spacing w:after="120"/>
      </w:pPr>
      <w:r>
        <w:rPr>
          <w:rFonts w:ascii="Calibri" w:hAnsi="Calibri"/>
          <w:b/>
          <w:color w:val="6E8450"/>
          <w:sz w:val="18"/>
        </w:rPr>
        <w:t>GROWTH SLEEVE · 2026-09-05 · Inspire: 20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Exploration &amp; Production · NYSE American · Indonesia</w:t>
      </w:r>
    </w:p>
    <w:p>
      <w:pPr>
        <w:spacing w:after="80"/>
      </w:pPr>
      <w:r>
        <w:rPr>
          <w:rFonts w:ascii="Calibri" w:hAnsi="Calibri"/>
          <w:b w:val="0"/>
          <w:color w:val="3A4A28"/>
          <w:sz w:val="20"/>
        </w:rPr>
        <w:t>Indonesia Energy Corporation Limited is a micro-cap independent oil and gas exploration and production company operating in Indonesia. Its principal assets include the Kruh Block, a producing block covering 258 sq km in Pali, South Sumatra, and the Citarum Block, an exploration block covering 3,925 sq km in onshore West Java. The company was incorporated in 2018, headquartered in Jakarta, and listed on NYSE American. INDO has achieved four oil and one gas discovery at Kruh Block post-IPO. Revenue was $2.01M in 2025 (down 24.6% YoY) with a net loss of $5.10M. Market cap is approximately $45M.</w:t>
      </w:r>
    </w:p>
    <w:p>
      <w:r>
        <w:rPr>
          <w:rFonts w:ascii="Calibri" w:hAnsi="Calibri"/>
          <w:b/>
          <w:color w:val="6E8450"/>
          <w:sz w:val="18"/>
        </w:rPr>
        <w:t>73 Employees · https://indo-energy.com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No meaningful product launches, business model transformations, or market pivots in the last 5 years. Indonesia Energy remains a small oil exploration company with declining revenue ($2.01M in 2025, down from $3.52M in 2023), persistent losses, and minimal production volume [1]. The business looks substantially the same as it did at IPO. AI Deployment (0/2): No AI deployment, no AI strategy evident. The company operates conventional oil and gas exploration with no technology differentiation. Market Share (0/2): Commodity participant with no market share differentiation. Indonesia Energy is a negligible producer in Indonesia's oil sector, with revenue under $3M against an industry measured in tens of billions [1]. Product Pipeline (1/2): The company has an active drilling program — 3D seismic surveys led to selection of two new drilling locations (K-29 and WK-5 wells), with K-29 reaching total depth with promising oil flow in mid-2026 [2]. Plans call for 16 additional wells over three years at $1.8M per well, with projected first-year net revenue of $3.3M per well at $80/bbl oil. This represents a specific, costed pipeline with revenue visibility. R&amp;D Intensity (0/1): Below industry average for oil and gas E&amp;P. The company conducts standard geological surveying and drilling with no proprietary technology or differentiated R&amp;D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Indonesia Energy's purpose is generic oil and gas exploration and production in Indonesia. No distinctive mission statement connecting the company's work to a larger purpose was found on the company website or investor materials [3]. The company exists to extract hydrocarbons and generate returns — a legitimate business but not an inspiring cause. Community Impact (0/2): No evidence of charitable programs, community investment, or social impact initiatives beyond standard Indonesian regulatory requirements for production-sharing contracts (community development, local goods and services). Employee Retention (0/2): No retention data available for a 73-person company. No Glassdoor presence or employee sentiment indicators found. Insider Buying (0/2): No evidence of insider buying identified. CEO Dr. Wirawan Jusuf is a co-founder and major shareholder, but no recent net insider buying at market prices was found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The only positive metric is the very low D/E ratio of 3% (scoring 1.0), reflecting minimal leverage on the balance sheet [4]. Every profitability and growth metric scores at or near zero: ROE is deeply negative (net loss $5.10M on minimal equity), profit margin is -102%, and revenue growth YoY of -24.55% is below the -20% floor (scoring 0.0) [1]. Forward P/E and PEG are incalculable with negative earnings and no analyst coverage. Five-year revenue CAGR is excluded due to insufficient history. The infrastructure score of 2/10 reflects clean leverage but zero profitability or growth. The stock clears the liquidity floor at approximately $2.5M average daily dollar volume ($2.93 x 840K avg volume)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Indonesia Energy shows no evidence of infinite game thinking. The company exists to extract oil and gas from Indonesian blocks and generate returns — a purely finite objective with no articulated Just Cause, no evidence of courageous leadership decisions, no organizational trust data, and no competitive philosophy beyond survival. CEO Dr. Wirawan Jusuf is a co-founder focused on operational execution, but the company's persistent losses, declining revenue, and lack of strategic vision beyond drilling more wells place it firmly in finite territory.</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Just Cause evident. Indonesia Energy exists to explore for and produce oil and gas in Indonesia. There is no articulated vision of a better future, no purpose beyond resource extraction and shareholder returns. The company's investor materials focus entirely on reserves, drilling plans, and cost metrics [3]. This is a finite player by Sinek's definition.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data available on organizational culture, employee trust, or team dynamics for this 73-person company [3]. No Glassdoor reviews, no employee sentiment data, no leadership continuity evidence beyond the founding team. The organization is too small and opaque for meaningful assessment.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infinite competitive mindset. Indonesia Energy operates as a micro-cap commodity producer without public engagement with competitors' strengths or evidence of using competitive dynamics for self-improvement. The company's communications are focused on its own drilling results rather than learning from peers.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No strategic pivots or business model transformations since incorporation in 2018. Indonesia Energy has pursued the same strategy (Indonesian oil and gas exploration) without adaptation. The company has not demonstrated willingness or ability to make dramatic strategic shifts in service of a larger purpose.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Despite persistent annual losses and declining revenue, Indonesia Energy continues investing in new well drilling — the K-29 well at $1.8M reached total depth with promising oil flow, and the WK-5 well is planned for mid-August 2026 [2]. Committing scarce capital to exploration drilling while unprofitable requires some courage, though this is closer to business necessity than a principled strategic sacrifice.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Indonesia Energy's investment case rests entirely on the success of its current drilling program and the potential to scale production from its Kruh Block. The K-29 well reached total depth in mid-2026 with promising oil flow, and the company plans 16 additional wells over three years at $1.8M each, projecting $3.3M in first-year net revenue per successful well at $80/bbl oil [2]. If the drilling program delivers as projected, annual revenue could reach $20-30M within 3 years from a current base of $2M, representing transformative growth for a $45M market cap company. The balance sheet is conservatively levered at 3% D/E with no meaningful long-term debt [4].</w:t>
      </w:r>
    </w:p>
    <w:p>
      <w:pPr>
        <w:spacing w:after="120"/>
      </w:pPr>
      <w:r>
        <w:rPr>
          <w:rFonts w:ascii="Calibri" w:hAnsi="Calibri"/>
          <w:b w:val="0"/>
          <w:color w:val="3A4A28"/>
          <w:sz w:val="20"/>
        </w:rPr>
        <w:t>The bear case is overwhelming for this micro-cap E&amp;P. Revenue has declined for consecutive years to just $2.01M (-24.55% YoY) with a net loss of $5.10M — the company is burning cash faster than it generates revenue [1]. Profit margin is -102%, meaning every dollar of revenue produces two dollars of loss. The drilling program's success is highly uncertain — oil exploration carries inherent geological risk, and even successful wells may not produce at projected rates. At 73 employees and $45M market cap, this is a micro-cap with minimal institutional support, no analyst coverage, and low liquidity (840K avg daily volume at $2.93) [3][4]. Indonesia-specific political and regulatory risk adds another layer of uncertainty. The Inspire Impact Score of 20 (MIXED) provides no differentiation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K-29 well production results — the well reached total depth with promising oil flow in mid-2026; successful production at projected rates ($3.3M first-year revenue per well) would demonstrate the viability of the 16-well drilling program [2]</w:t>
      </w:r>
    </w:p>
    <w:p>
      <w:pPr>
        <w:spacing w:before="40" w:after="40"/>
        <w:ind w:left="283"/>
      </w:pPr>
      <w:r>
        <w:rPr>
          <w:rFonts w:ascii="Calibri" w:hAnsi="Calibri"/>
          <w:b/>
          <w:color w:val="4A6B25"/>
          <w:sz w:val="20"/>
        </w:rPr>
        <w:t xml:space="preserve">2. </w:t>
      </w:r>
      <w:r>
        <w:rPr>
          <w:rFonts w:ascii="Calibri" w:hAnsi="Calibri"/>
          <w:b w:val="0"/>
          <w:color w:val="3A4A28"/>
          <w:sz w:val="20"/>
        </w:rPr>
        <w:t>WK-5 well drilling planned for mid-August 2026 — a second successful well would validate the 3D seismic survey data and de-risk the multi-year drilling plan [2]</w:t>
      </w:r>
    </w:p>
    <w:p>
      <w:pPr>
        <w:spacing w:before="40" w:after="40"/>
        <w:ind w:left="283"/>
      </w:pPr>
      <w:r>
        <w:rPr>
          <w:rFonts w:ascii="Calibri" w:hAnsi="Calibri"/>
          <w:b/>
          <w:color w:val="4A6B25"/>
          <w:sz w:val="20"/>
        </w:rPr>
        <w:t xml:space="preserve">3. </w:t>
      </w:r>
      <w:r>
        <w:rPr>
          <w:rFonts w:ascii="Calibri" w:hAnsi="Calibri"/>
          <w:b w:val="0"/>
          <w:color w:val="3A4A28"/>
          <w:sz w:val="20"/>
        </w:rPr>
        <w:t>Oil price support above $80/bbl — the company's well economics are modeled at $80 oil, and sustained prices above this level improve per-well returns and accelerate the path to cash flow positivity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Persistent unprofitability with net loss of $5.10M against $2.01M revenue (-102% margin) — the company is consuming capital and may require additional financing that dilutes shareholders if drilling results disappoint [1]</w:t>
      </w:r>
    </w:p>
    <w:p>
      <w:pPr>
        <w:spacing w:before="40" w:after="40"/>
        <w:ind w:left="283"/>
      </w:pPr>
      <w:r>
        <w:rPr>
          <w:rFonts w:ascii="Calibri" w:hAnsi="Calibri"/>
          <w:b/>
          <w:color w:val="4A6B25"/>
          <w:sz w:val="20"/>
        </w:rPr>
        <w:t xml:space="preserve">2. </w:t>
      </w:r>
      <w:r>
        <w:rPr>
          <w:rFonts w:ascii="Calibri" w:hAnsi="Calibri"/>
          <w:b w:val="0"/>
          <w:color w:val="3A4A28"/>
          <w:sz w:val="20"/>
        </w:rPr>
        <w:t>Geological and execution risk on the multi-well drilling program — oil exploration carries inherent uncertainty, and projected well economics ($3.3M revenue per well at $80/bbl) may not materialize if reservoir quality or flow rates underperform [2]</w:t>
      </w:r>
    </w:p>
    <w:p>
      <w:pPr>
        <w:spacing w:before="40" w:after="40"/>
        <w:ind w:left="283"/>
      </w:pPr>
      <w:r>
        <w:rPr>
          <w:rFonts w:ascii="Calibri" w:hAnsi="Calibri"/>
          <w:b/>
          <w:color w:val="4A6B25"/>
          <w:sz w:val="20"/>
        </w:rPr>
        <w:t xml:space="preserve">3. </w:t>
      </w:r>
      <w:r>
        <w:rPr>
          <w:rFonts w:ascii="Calibri" w:hAnsi="Calibri"/>
          <w:b w:val="0"/>
          <w:color w:val="3A4A28"/>
          <w:sz w:val="20"/>
        </w:rPr>
        <w:t>Micro-cap illiquidity and lack of institutional support — at $45M market cap with 73 employees and no analyst coverage, the stock is vulnerable to sharp price dislocations and offers no margin of safety in a downturn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Indonesia Energy's core business — physical oil and gas exploration, drilling, and production in Indonesia — is structurally immune to AI disruption. Extracting hydrocarbons from subsurface formations requires physical drilling rigs, geological expertise, and on-the-ground operations that AI cannot replicate or substitute [2]. Oil is a physical commodity with price determined by global supply-demand dynamics, not by technology substitution. No analyst has flagged AI as a disruption risk for small-cap Indonesian E&amp;P companies. AI may modestly improve seismic interpretation and drilling efficiency, but it cannot displace the fundamental physical activity of oil extraction. The only risk preventing a score of 9 is that AI-driven energy efficiency improvements could marginally reduce long-term oil demand growth. AI Opportunity (0/1): Indonesia Energy generates zero revenue from AI products or services and has no AI-related initiatives.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20</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GHG Emissions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Indonesia Energy FY2025 Financial Results — Revenue $2.01M (-24.55% YoY), net loss $5.10M, profit margin -102%, StockAnalysis and SEC filings, 2025</w:t>
      </w:r>
    </w:p>
    <w:p>
      <w:pPr>
        <w:spacing w:before="20" w:after="20"/>
        <w:ind w:left="170"/>
      </w:pPr>
      <w:r>
        <w:rPr>
          <w:rFonts w:ascii="Calibri" w:hAnsi="Calibri"/>
          <w:b/>
          <w:color w:val="4A6B25"/>
          <w:sz w:val="15"/>
        </w:rPr>
        <w:t xml:space="preserve">2. </w:t>
      </w:r>
      <w:r>
        <w:rPr>
          <w:rFonts w:ascii="Calibri" w:hAnsi="Calibri"/>
          <w:b w:val="0"/>
          <w:color w:val="3A4A28"/>
          <w:sz w:val="17"/>
        </w:rPr>
        <w:t>Indonesia Energy K-29 and WK-5 Drilling Updates — K-29 total depth with promising oil flow, $1.8M per well cost, $3.3M projected first-year revenue, 16-well drilling plan, Quartr and company investor presentations, 2026</w:t>
      </w:r>
    </w:p>
    <w:p>
      <w:pPr>
        <w:spacing w:before="20" w:after="20"/>
        <w:ind w:left="170"/>
      </w:pPr>
      <w:r>
        <w:rPr>
          <w:rFonts w:ascii="Calibri" w:hAnsi="Calibri"/>
          <w:b/>
          <w:color w:val="4A6B25"/>
          <w:sz w:val="15"/>
        </w:rPr>
        <w:t xml:space="preserve">3. </w:t>
      </w:r>
      <w:r>
        <w:rPr>
          <w:rFonts w:ascii="Calibri" w:hAnsi="Calibri"/>
          <w:b w:val="0"/>
          <w:color w:val="3A4A28"/>
          <w:sz w:val="17"/>
        </w:rPr>
        <w:t>Indonesia Energy Corporate Profile — CEO Dr. Wirawan Jusuf, 73 employees, Jakarta HQ, Kruh Block (258 sq km) and Citarum Block (3,925 sq km), indo-energy.com and SEC filings,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Morningstar — INDO stock price $2.93, market cap $45.24M, D/E 3%, avg daily volume 840K, 52-week range $2.44-$8.50,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