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INMD</w:t>
      </w:r>
      <w:r>
        <w:rPr>
          <w:rFonts w:ascii="Calibri" w:hAnsi="Calibri"/>
          <w:b/>
          <w:color w:val="1A2010"/>
          <w:sz w:val="40"/>
        </w:rPr>
        <w:t xml:space="preserve">  InMode Ltd.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2026-09-29 · Inspire: 49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Medical Devices · NASDAQ · Israel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InMode designs, develops, manufactures, and markets minimally invasive and non-invasive aesthetic medical platforms based on proprietary radiofrequency (RF) technology. Products include BodyTite, FaceTite, Morpheus8, EmpowerRF, and hands-free solutions for body contouring, skin tightening, fat reduction, and women's health procedures, sold through direct sales and distributors globally.</w:t>
      </w:r>
    </w:p>
    <w:p>
      <w:r>
        <w:rPr>
          <w:rFonts w:ascii="Calibri" w:hAnsi="Calibri"/>
          <w:b/>
          <w:color w:val="6E8450"/>
          <w:sz w:val="18"/>
        </w:rPr>
        <w:t>1,100 Employees · https://www.inmodemd.com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InMode remains the category leader in RF-based minimally invasive aesthetics with proprietary RFAL technology that competitors have not replicated, and R&amp;D investment continues under CTO Dr. Michael Kreindel [1][2]. However, Q2 2026 revenue of $95.6M was flat YoY with management citing a shifting mix toward lower-margin laser platforms rather than a transformative new product cycle [2]. Consumables and service revenue grew 13% YoY but no specific next-generation platform with a named launch timeline has been disclosed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InMode's mission of advancing minimally invasive aesthetics is relevant but not deeply differentiated beyond med-tech standard. Employee sentiment is notably poor — Glassdoor shows a 2.9/5 rating with only 37% recommending the company, work-life balance at 2.3/5, and multiple reviews citing fear-based leadership and micromanagement [4]. CEO Moshe Mizrahy holds a 66% approval rating, below sector average, and the recent appointment of Michael Dennison as President of North America signals leadership recognizes the organizational deficit [4][5].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InMode's balance sheet is exceptionally clean with near-zero debt (D/E 0.7%) and the stock trades at a discounted forward P/E of 10.4x with a 20.7% profit margin [3]. However, gross margins compressed from 80% to 75% YoY and operating margins dropped from 24% to 13% due to mix shift and investment spending [1][2]. ROE of 12.3% sits below the 15% target, revenue growth is flat YoY, and 5-year revenue CAGR is approximately 1% as the business has plateaued from its 2022 peak of ~$454M [2][3]. Liquidity floor cleared: 530K avg volume × $14.20 = ~$7.5M daily turnover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InMode shows some long-term thinking through continued R&amp;D investment and geographic diversification despite margin compression, but poor employee culture (37% Glassdoor recommend rate) and governance uncertainty from the controlling shareholder's take-private proposal undermine its infinite game positioning [2][4].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InMode's cause of advancing minimally invasive aesthetic medicine through proprietary RF technology is genuine but narrowly defined. Asia revenue reached a quarterly record in Q2 2026 reflecting global expansion ambition [2], but the concurrent take-private proposal from M.N. Business Strategy Ltd. suggests strategic focus has shifted toward ownership structure rather than mission execution 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Glassdoor reviews paint a concerning picture with only 37% of employees recommending InMode and culture rated 2.7/5 [4]. Multiple reviews describe toxic management practices, fear-based leadership, and high turnover in sales roles, with work-life balance at a poor 2.3/5 [4]. The recent North America leadership change suggests recognition of organizational issues but remediation is early-stage.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InMode competes against Cynosure (Hologic), Cutera, and Candela and frames its consumables/international expansion strategy as differentiation on clinical outcomes rather than a winner-take-all battle [1][2]. However, the company has struggled to meaningfully pull ahead in a crowded aesthetic device market where growth has broadly stalled.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InMode demonstrates flexibility through geographic diversification with Asia revenue at quarterly records and consumables/service revenue growing 13% YoY [2]. The pivot toward recurring revenue streams and expansion into women's health (EmpowerRF) beyond pure aesthetics shows willingness to evolve, though the mix shift toward lower-margin laser platforms is incremental rather than transformative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Management restructured the North American sales force and sustained R&amp;D investment through a multi-year revenue plateau rather than aggressively cutting costs, which demonstrates some courage [1][2]. However, the company has been slow to address well-documented cultural issues, and the ongoing take-private proposal raises questions about whose long-term interests are being prioritized [4][5].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InMode offers a deeply discounted entry into a differentiated medical device franchise, trading at just 10.4x forward earnings with near-zero debt and 20.7% profit margins [3]. The proprietary RFAL technology maintains clinical differentiation, and the shift toward recurring consumables/service revenue (up 13% YoY) plus record Asia sales could stabilize the business after a multi-year decline from peak [2]. A controlling-shareholder take-private proposal signals insiders see undervalued equity at current prices [5].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substantial. Q2 2026 revenue was flat YoY at $95.6M with margins compressing as the mix shifts toward lower-margin laser platforms, and operating margins collapsed from 24% to 13% [1][2]. The take-private proposal faces an active governance dispute from a Steel Partners affiliate challenging board independence, creating legal overhang [5]. Glassdoor sentiment remains poor (37% recommend, 2.3/5 work-life balance), GLP-1 drug adoption threatens U.S. body contouring demand, and the stock has declined roughly 85% from its 2021 highs with no clear catalyst for re-rating [3][4].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Resolution of the M.N. Business Strategy Ltd. take-private proposal — a positive outcome could deliver a premium to current shareholders or remove overhang 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Consumables and service revenue accelerating beyond 13% growth, building a recurring revenue base that improves earnings visibility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Asia market expansion continuing with new country launches, potentially offsetting sluggish North America demand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Operating margin compression from 24% to 13% may continue as the product mix shifts toward lower-margin laser platforms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GLP-1 weight-loss drug adoption (Ozempic, Mounjaro) structurally reducing demand for body contouring procedures, InMode's core U.S. use case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Persistent cultural and employee retention issues (37% Glassdoor recommend rate) undermining commercial execution, particularly in the restructured North America sales organization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InMode's core business involves physical medical devices delivering radiofrequency energy for aesthetic procedures — AI cannot substitute for the physical hardware, physician training, or in-person patient procedures that drive revenue, and the proprietary RFAL technology is protected by patents and FDA clearances [1]. AI serves as a modest enabler through potential treatment optimization and imaging analysis, though InMode has not yet deployed significant AI-driven features. The primary AI-adjacent risk is GLP-1 weight-loss drug adoption reducing body contouring demand, but this is a pharma substitution risk rather than direct AI disruption [2][5].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49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InMode Q1 2026 Earnings Press Release — Quarterly GAAP Revenue of $82 Million, +5% YoY,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InMode Q2 2026 Earnings Press Release — Quarterly GAAP Revenues of $95.6 Million,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 — INMD key statistics and financial data,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Glassdoor — InMode Reviews (127 reviews, 2.9/5 rating),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InMode 20-F Annual Report and corporate disclosures (ESG, technology, governance), FY2023-2026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