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INVH</w:t>
      </w:r>
      <w:r>
        <w:rPr>
          <w:rFonts w:ascii="Calibri" w:hAnsi="Calibri"/>
          <w:b/>
          <w:color w:val="1A2010"/>
          <w:sz w:val="40"/>
        </w:rPr>
        <w:t xml:space="preserve">  Invitation Homes Inc.</w:t>
      </w:r>
    </w:p>
    <w:p>
      <w:pPr>
        <w:spacing w:after="120"/>
      </w:pPr>
      <w:r>
        <w:rPr>
          <w:rFonts w:ascii="Calibri" w:hAnsi="Calibri"/>
          <w:b/>
          <w:color w:val="6E8450"/>
          <w:sz w:val="18"/>
        </w:rPr>
        <w:t>DIVIDEND SLEEVE · 2026-10-15 · Inspire: 41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Residential · NYSE · United States</w:t>
      </w:r>
    </w:p>
    <w:p>
      <w:pPr>
        <w:spacing w:after="80"/>
      </w:pPr>
      <w:r>
        <w:rPr>
          <w:rFonts w:ascii="Calibri" w:hAnsi="Calibri"/>
          <w:b w:val="0"/>
          <w:color w:val="3A4A28"/>
          <w:sz w:val="20"/>
        </w:rPr>
        <w:t>Invitation Homes Inc. is the largest publicly traded single-family rental REIT in the United States, owning and operating approximately 85,000 homes across 16 markets in the Western U.S., Southeast, Florida, and Texas. Originally formed by Blackstone in 2012 to acquire distressed homes post-financial crisis, the company IPO'd in 2017 and merged with Starwood Waypoint Homes in 2018. In Q2 2026, revenue reached $747.6M (+9.7% YoY), and FY2026 EPS guidance was set at $1.92-$1.98 with raised disposition guidance of $850M at midpoint [2][3].</w:t>
      </w:r>
    </w:p>
    <w:p>
      <w:r>
        <w:rPr>
          <w:rFonts w:ascii="Calibri" w:hAnsi="Calibri"/>
          <w:b/>
          <w:color w:val="6E8450"/>
          <w:sz w:val="18"/>
        </w:rPr>
        <w:t>4,500 Employees · https://www.invitationhomes.com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INVH has scaled from Blackstone's post-crisis acquisition vehicle to the largest publicly traded SFR REIT through the 2018 Starwood Waypoint merger and subsequent organic portfolio expansion, but this represents financial/operational growth rather than product innovation or business model transformation [2]. AI Deployment (1/2): CEO Dallas Tanner stated 'artificial intelligence and digital innovation continue to transform our industry, strong technology leadership is essential' and hired James Curl as CTO (September 2026) from Rocket Companies subsidiary Xome to lead AI and digital strategy [4]. However, no AI products are shipping to residents or quantified AI-driven cost savings have been reported — the company is in the exploration phase. Market Share (2/2): INVH is the largest publicly traded single-family rental company in the U.S. with approximately 85,000 homes across 16 markets, defining the category for institutional SFR ownership and setting the benchmark for operational standards and investor expectations in the space [2]. Product Pipeline (0/2): No specific next-generation products or service innovations with defined timelines; the raised disposition guidance ($850M midpoint) reflects portfolio optimization rather than new product development. R&amp;D Intensity (0/1): REITs do not report R&amp;D spending; no evidence of above-average technology investment relative to residential REIT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INVH's stated purpose centers on providing quality leasing experiences in high-demand single-family rental markets — a clear but undistinctive mission that identifies what the company does (rent homes) and for whom (families and individuals) without articulating a deeper purpose or vision beyond the transactional relationship [5]. Community &amp; Charitable Impact (0/2): No evidence of distinctive charitable programs or community investment found. Tenant advocacy groups have raised concerns about maintenance standards, habitability issues, and fee practices — the Capitol Forum documented complaints about 'deceptively putting tenants into dwellings with maintenance issues, code violations and life-threatening safety risks' — which works against community impact scoring [5]. Employee Retention &amp; Tenure (0/2): Glassdoor rating of 3.5/5 with 72% CEO approval is industry average. Critical reviews describe a 'culture that discouraged raising concerns and prioritized metrics over people,' suggesting mixed employee sentiment rather than mission-driven retention [4]. Insider Buying (0/2): No evidence of meaningful net insider buying by CEO Dallas Tanner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Scored as a Dividend stock with limited metric availability due to yfinance API limitations. Revenue growth of 9.7% YoY in Q2 2026 ($747.6M vs $681.4M) is near the 10% target (score 0.99) [2]. Estimated Forward P/E of approximately 13.6x (stock price $26.54 / FY2026 EPS guidance midpoint $1.95) is well below the 20 target (score 1.0) [2][3]. Consecutive years of dividend payments estimated at 9 (since 2017 IPO) approaches the 10-year target (score 0.9, 2x weight). However, multiple core metrics are unavailable (D/E, ROE, profit margin) due to API rate limiting, and REIT-specific characteristics distort traditional metrics — D/E is structurally elevated for leveraged REITs, GAAP ROE is depressed by depreciation charges, and profit margin differs meaningfully from FFO-based profitability. The score of 7 reflects strong available metrics tempered by structural REIT considerations and data gaps. Daily dollar volume of $122.1M provides ample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Invitation Homes operates with a predominantly finite mindset — the company is fundamentally a financial vehicle for single-family rental asset aggregation, optimized for FFO per share and dividend growth rather than an enduring cause beyond profit. Tenant complaints about maintenance standards and fee practices suggest a metrics-over-people orientation, though CEO Dallas Tanner's stable leadership and investments in technology capability show some long-term thinking.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INVH's purpose centers on providing quality single-family rental experiences, but this reads as a business description rather than a Just Cause that inspires sacrifice. The company exists to aggregate and manage rental homes for investor returns — a legitimate business but not a vision of a future state worth sacrificing for [5]. There is no evidence that the company's purpose transcends its financial objectives or shapes strategic decisions beyond normal REIT optimization.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3.5/5 with 72% CEO approval is average for the real estate industry. CEO Dallas Tanner has provided stable leadership since 2019, and the recent CTO hire and SVP of Transformation and Innovation appointments suggest investment in organizational capability [4]. However, some employee reviews cite a 'culture that discouraged raising concerns and prioritized metrics over people,' and tenant-facing staff may face pressure to optimize revenue metrics at the expense of service quality. On balance, adequate trust without exceptional evidence of empowerment or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INVH competes with American Homes 4 Rent (AMH) and other SFR operators but management commentary focuses on market share, portfolio quality, and operational efficiency rather than learning from competitors' strengths. The company's competitive positioning is framed through financial metrics (NOI growth, same-store revenue) rather than self-improvement driven by worthy rivalry.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INVH has evolved from Blackstone's distressed-asset acquisition vehicle (2012) through IPO (2017), the transformative Starwood Waypoint merger (2018), and repositioning toward higher-quality homes in growth markets through the raised $850M disposition program [2]. The CTO hire for AI and digital strategy represents further evolution. These changes are incremental adaptations rather than transformative reinventions, but they show willingness to evolve the portfolio and operating model in response to market conditions.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$850M raised disposition guidance represents willingness to exit properties that no longer fit the portfolio strategy, even at the cost of near-term revenue, in favor of long-term portfolio quality [2]. The CTO hire and investment in AI/digital capabilities when the industry has traditionally been technology-averse shows forward-looking investment [4]. However, these are standard real estate portfolio management decisions rather than costly long-term bets that sacrifice meaningful near-term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Invitation Homes at $26.54 with a $15.7B market cap is the largest publicly traded single-family rental REIT, owning approximately 85,000 homes across 16 high-demand U.S. markets. Q2 2026 revenue grew 9.7% YoY to $747.6M, Q1 2026 revenue grew 8.8% to $734.1M, and FY2026 EPS guidance of $1.92-$1.98 reflects steady operational execution [2][3]. The stock trades at approximately 13.6x forward earnings with a dividend yield of approximately 4.2%, offering attractive income in a structurally undersupplied U.S. housing market where single-family construction remains below household formation rates. The company's portfolio concentration in Sunbelt and Western growth markets benefits from population migration, remote work trends, and millennial family formation driving demand for single-family rentals.</w:t>
      </w:r>
    </w:p>
    <w:p>
      <w:pPr>
        <w:spacing w:after="120"/>
      </w:pPr>
      <w:r>
        <w:rPr>
          <w:rFonts w:ascii="Calibri" w:hAnsi="Calibri"/>
          <w:b w:val="0"/>
          <w:color w:val="3A4A28"/>
          <w:sz w:val="20"/>
        </w:rPr>
        <w:t>The bear case centers on tenant experience risks, regulatory headwinds, and valuation compression. Tenant advocacy groups and media investigations have documented complaints about maintenance quality, habitability standards, and fee practices including alleged 'fee-stacking' with $95 late charges even when payment portal errors caused delays [5]. These controversies create regulatory risk — multiple state attorneys general have received tenant complaints, and growing political scrutiny of institutional landlords could result in rent control legislation, enhanced tenant protections, or restrictions on institutional SFR ownership that would compress revenue growth and NOI margins. The stock has declined from $27.97 (50-day SMA) to $26.54, suggesting near-term sentiment pressure. Rising operating expenses and the $850M disposition program could temporarily reduce portfolio scale and same-store growth metrics. Interest rate sensitivity remains a key risk for leveraged REITs — if rates stay elevated, INVH's borrowing costs increase while property values face cap rate compression, potentially eroding NAV and dividend coverage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U.S. housing undersupply — single-family construction has underbuilt relative to household formation for 15+ years, creating a durable tailwind for rental demand and pricing power in INVH's 16 target markets [2]</w:t>
      </w:r>
    </w:p>
    <w:p>
      <w:pPr>
        <w:spacing w:before="40" w:after="40"/>
        <w:ind w:left="283"/>
      </w:pPr>
      <w:r>
        <w:rPr>
          <w:rFonts w:ascii="Calibri" w:hAnsi="Calibri"/>
          <w:b/>
          <w:color w:val="4A6B25"/>
          <w:sz w:val="20"/>
        </w:rPr>
        <w:t xml:space="preserve">2. </w:t>
      </w:r>
      <w:r>
        <w:rPr>
          <w:rFonts w:ascii="Calibri" w:hAnsi="Calibri"/>
          <w:b w:val="0"/>
          <w:color w:val="3A4A28"/>
          <w:sz w:val="20"/>
        </w:rPr>
        <w:t>CTO hire (James Curl) and AI/digital strategy investment could drive operational efficiencies in maintenance scheduling, dynamic pricing, and tenant experience, improving NOI margins across the 85,000-home portfolio [4]</w:t>
      </w:r>
    </w:p>
    <w:p>
      <w:pPr>
        <w:spacing w:before="40" w:after="40"/>
        <w:ind w:left="283"/>
      </w:pPr>
      <w:r>
        <w:rPr>
          <w:rFonts w:ascii="Calibri" w:hAnsi="Calibri"/>
          <w:b/>
          <w:color w:val="4A6B25"/>
          <w:sz w:val="20"/>
        </w:rPr>
        <w:t xml:space="preserve">3. </w:t>
      </w:r>
      <w:r>
        <w:rPr>
          <w:rFonts w:ascii="Calibri" w:hAnsi="Calibri"/>
          <w:b w:val="0"/>
          <w:color w:val="3A4A28"/>
          <w:sz w:val="20"/>
        </w:rPr>
        <w:t>Portfolio quality improvement through $850M disposition program and selective acquisitions repositions the portfolio toward higher-rent, higher-growth markets, potentially improving same-store revenue growth and attracting higher-quality tenants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Political and regulatory risk from growing scrutiny of institutional landlords — state and federal proposals to restrict institutional SFR ownership, expand rent control, or enhance tenant protections could structurally compress revenue growth and NOI margins [5]</w:t>
      </w:r>
    </w:p>
    <w:p>
      <w:pPr>
        <w:spacing w:before="40" w:after="40"/>
        <w:ind w:left="283"/>
      </w:pPr>
      <w:r>
        <w:rPr>
          <w:rFonts w:ascii="Calibri" w:hAnsi="Calibri"/>
          <w:b/>
          <w:color w:val="4A6B25"/>
          <w:sz w:val="20"/>
        </w:rPr>
        <w:t xml:space="preserve">2. </w:t>
      </w:r>
      <w:r>
        <w:rPr>
          <w:rFonts w:ascii="Calibri" w:hAnsi="Calibri"/>
          <w:b w:val="0"/>
          <w:color w:val="3A4A28"/>
          <w:sz w:val="20"/>
        </w:rPr>
        <w:t>Tenant experience controversies including documented maintenance quality concerns, habitability complaints, and alleged fee-stacking practices create reputational risk and potential legal liability that could damage the brand and increase operating costs [5]</w:t>
      </w:r>
    </w:p>
    <w:p>
      <w:pPr>
        <w:spacing w:before="40" w:after="40"/>
        <w:ind w:left="283"/>
      </w:pPr>
      <w:r>
        <w:rPr>
          <w:rFonts w:ascii="Calibri" w:hAnsi="Calibri"/>
          <w:b/>
          <w:color w:val="4A6B25"/>
          <w:sz w:val="20"/>
        </w:rPr>
        <w:t xml:space="preserve">3. </w:t>
      </w:r>
      <w:r>
        <w:rPr>
          <w:rFonts w:ascii="Calibri" w:hAnsi="Calibri"/>
          <w:b w:val="0"/>
          <w:color w:val="3A4A28"/>
          <w:sz w:val="20"/>
        </w:rPr>
        <w:t>Interest rate sensitivity — as a leveraged REIT, sustained higher rates increase borrowing costs, compress property valuations through higher cap rates, and pressure dividend coverage, with approximately 30% of INVH's debt portfolio subject to variable rates or near-term refinancing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Invitation Homes' core business of owning and managing physical single-family rental properties is structurally immune to AI displacement — AI cannot substitute for houses, land, physical maintenance, or the essential human need for shelter [1]. The company's 85,000-home portfolio across 16 U.S. markets represents irreplaceable physical infrastructure that AI structurally cannot replicate. Growing demand for AI data centers and technology infrastructure actually increases housing demand in INVH's Sunbelt and Western markets as tech workers relocate. Additionally, local regulatory requirements for property management, habitability standards, and tenant protections create compliance moats that AI cannot bypass. Scored IMMUNE rather than PROTECTED because the physical-asset business model has no substitution path from AI. AI Opportunity (0/1): No AI-related revenue generated. The company hired a CTO to pursue AI and digital innovation but has not disclosed any revenue or cost savings from AI deployment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Yahoo Finance — INVH stock price $26.54, avg volume 4.6M shares, market cap $15.7B, accessed October 2026</w:t>
      </w:r>
    </w:p>
    <w:p>
      <w:pPr>
        <w:spacing w:before="20" w:after="20"/>
        <w:ind w:left="170"/>
      </w:pPr>
      <w:r>
        <w:rPr>
          <w:rFonts w:ascii="Calibri" w:hAnsi="Calibri"/>
          <w:b/>
          <w:color w:val="4A6B25"/>
          <w:sz w:val="15"/>
        </w:rPr>
        <w:t xml:space="preserve">2. </w:t>
      </w:r>
      <w:r>
        <w:rPr>
          <w:rFonts w:ascii="Calibri" w:hAnsi="Calibri"/>
          <w:b w:val="0"/>
          <w:color w:val="3A4A28"/>
          <w:sz w:val="17"/>
        </w:rPr>
        <w:t>Invitation Homes Q2 2026 Earnings — Revenue $747.6M (+9.7% YoY), FY2026 EPS Guidance $1.92-$1.98, Raised Disposition Guidance to $850M Midpoint — SEC 8-K/MarketBeat, July 2026</w:t>
      </w:r>
    </w:p>
    <w:p>
      <w:pPr>
        <w:spacing w:before="20" w:after="20"/>
        <w:ind w:left="170"/>
      </w:pPr>
      <w:r>
        <w:rPr>
          <w:rFonts w:ascii="Calibri" w:hAnsi="Calibri"/>
          <w:b/>
          <w:color w:val="4A6B25"/>
          <w:sz w:val="15"/>
        </w:rPr>
        <w:t xml:space="preserve">3. </w:t>
      </w:r>
      <w:r>
        <w:rPr>
          <w:rFonts w:ascii="Calibri" w:hAnsi="Calibri"/>
          <w:b w:val="0"/>
          <w:color w:val="3A4A28"/>
          <w:sz w:val="17"/>
        </w:rPr>
        <w:t>Invitation Homes Q1 2026 Earnings — Revenue $734.1M (+8.8% YoY), EPS $0.26 vs $0.18 Expected — OpenCapital/DEAC, May 2026</w:t>
      </w:r>
    </w:p>
    <w:p>
      <w:pPr>
        <w:spacing w:before="20" w:after="20"/>
        <w:ind w:left="170"/>
      </w:pPr>
      <w:r>
        <w:rPr>
          <w:rFonts w:ascii="Calibri" w:hAnsi="Calibri"/>
          <w:b/>
          <w:color w:val="4A6B25"/>
          <w:sz w:val="15"/>
        </w:rPr>
        <w:t xml:space="preserve">4. </w:t>
      </w:r>
      <w:r>
        <w:rPr>
          <w:rFonts w:ascii="Calibri" w:hAnsi="Calibri"/>
          <w:b w:val="0"/>
          <w:color w:val="3A4A28"/>
          <w:sz w:val="17"/>
        </w:rPr>
        <w:t>Invitation Homes CTO Appointment (James Curl) and Leadership Changes — Dallas Tanner AI/Digital Strategy Commentary, Glassdoor 3.5/5 Rating — Barchart/Dallas Innovates, 2026</w:t>
      </w:r>
    </w:p>
    <w:p>
      <w:pPr>
        <w:spacing w:before="20" w:after="20"/>
        <w:ind w:left="170"/>
      </w:pPr>
      <w:r>
        <w:rPr>
          <w:rFonts w:ascii="Calibri" w:hAnsi="Calibri"/>
          <w:b/>
          <w:color w:val="4A6B25"/>
          <w:sz w:val="15"/>
        </w:rPr>
        <w:t xml:space="preserve">5. </w:t>
      </w:r>
      <w:r>
        <w:rPr>
          <w:rFonts w:ascii="Calibri" w:hAnsi="Calibri"/>
          <w:b w:val="0"/>
          <w:color w:val="3A4A28"/>
          <w:sz w:val="17"/>
        </w:rPr>
        <w:t>Invitation Homes Tenant Controversies and ESG Risk — The Capitol Forum Tenant Investigation, Fee-Stacking Litigation, FY2023 10-K ESG Risk Disclosures — SEC/Media, 2018-2026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