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IOTR</w:t>
      </w:r>
      <w:r>
        <w:rPr>
          <w:rFonts w:ascii="Calibri" w:hAnsi="Calibri"/>
          <w:b/>
          <w:color w:val="1A2010"/>
          <w:sz w:val="40"/>
        </w:rPr>
        <w:t xml:space="preserve">  iOThree Limited</w:t>
      </w:r>
    </w:p>
    <w:p>
      <w:pPr>
        <w:spacing w:after="120"/>
      </w:pPr>
      <w:r>
        <w:rPr>
          <w:rFonts w:ascii="Calibri" w:hAnsi="Calibri"/>
          <w:b/>
          <w:color w:val="6E8450"/>
          <w:sz w:val="18"/>
        </w:rPr>
        <w:t>GROWTH SLEEVE · 2026-09-22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Singapore</w:t>
      </w:r>
    </w:p>
    <w:p>
      <w:pPr>
        <w:spacing w:after="80"/>
      </w:pPr>
      <w:r>
        <w:rPr>
          <w:rFonts w:ascii="Calibri" w:hAnsi="Calibri"/>
          <w:b w:val="0"/>
          <w:color w:val="3A4A28"/>
          <w:sz w:val="20"/>
        </w:rPr>
        <w:t>iOThree Limited is a Singapore-based provider of maritime digital technologies, satellite connectivity, and AI-powered analytics for the maritime industry. Operating through Satellite Connectivity and Digitalization segments, the company offers its JARVISS edge computing platform, V.Suite digital solutions (V.SIGHT AI surveillance, V.IoT shipboard monitoring, V.SECURE cybersecurity, V.WEATHER route optimization), and F.R.I.D.A.Y. planned maintenance system for carbon reporting. FY2026 (ended March 2026) revenue grew 40% YoY to US$14.7M with gross profit surging 68.4% to $3.2M, though the company posted a net loss of $1.2M. Incorporated in 2019, listed on NASDAQ.</w:t>
      </w:r>
    </w:p>
    <w:p>
      <w:r>
        <w:rPr>
          <w:rFonts w:ascii="Calibri" w:hAnsi="Calibri"/>
          <w:b/>
          <w:color w:val="6E8450"/>
          <w:sz w:val="18"/>
        </w:rPr>
        <w:t>40 Employees · https://io3.sg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iOThree grew revenue 40% to US$14.7M in FY2026, driven by the Edge computing and digitalization segment expanding beyond pure satellite connectivity, with gross profit surging 68.4% to $3.2M and margins improving to 21.4% from 17.8% [1]. This is solid execution for a micro-cap, but the company remains at tiny scale and posted a net loss of $1.2M with no transformative business model pivot. AI Deployment (1/2): V.SIGHT AI camera surveillance and partnerships with Seadronix (AI-assisted navigation) and Singfar Group (AI for bunker vessel operations) represent real AI products shipping to maritime customers, though revenue attribution is not separately quantified [2]. Market Share (0/2): iOThree holds ISO 9001/14001 certifications and RINA classification approvals, but at $14.7M revenue it is dwarfed by established maritime technology providers like Inmarsat, Marlink, and Kongsberg Maritime — not yet a meaningful player by market share [1]. Product Pipeline (1/2): Shipboard digital bulletin board service launched Q3 2026, continued AI analytics platform expansion, and North Asia market expansion backed by a two-year project pipeline provide some forward visibility [1]. R&amp;D Intensity (1/1): R&amp;D investment is high relative to the $14.7M revenue base, with ongoing development of V.Suite, JARVISS, F.R.I.D.A.Y., and multiple AI partnership integrations across a 40-person team.</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iOThree's purpose centers on advancing maritime digitalization to optimize vessel operations, enhance safety, and improve environmental compliance through carbon reporting tools [2]. The mission is clear and identifies the target market, but does not articulate a transformative vision beyond operational improvement — interchangeable with any maritime tech company. Community Impact (0/2): No evidence of charitable programs or community investment beyond the company's core commercial activities for a 40-person nano-cap. Employee Retention (1/2): Founder-CEO Kenny Koh has led iOThree since its founding in 2019, and the chairman's shareholder letter expressed genuine appreciation for employees' dedication and clients' trust [1]. The 40-person team inherently operates with close interpersonal ties, and headcount grew from 36 to 40, indicating investment in talent. Insider Buying (0/2): No specific insider buying data available for this recently listed nano-cap.</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3-month average daily volume of 560K shares × $1.885 = $1.056M barely passes the $1M liquidity floor, though the 10-day average volume of only 15,400 shares ($29K daily) indicates severe practical illiquidity that represents significant investability risk [5]. Scored on available metrics with Forward P/E and PEG excluded due to lack of analyst coverage. D/E of 35.4% is well below the 70% target, reflecting conservative leverage with only $1.6M total debt against $3.1M cash [4]. ROE is deeply negative at -37.4% (scoring 0) due to ongoing losses. Revenue Growth YoY of 40% is exceptional, scoring the maximum [1]. Revenue Growth estimated 5-year CAGR of approximately 39% (since 2019 founding) also scores maximum. Profit margin of -7.9% is negative, scoring 0, though narrower than prior years suggesting a path toward breakeven as digitalization revenue scales.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iOThree is a young company (founded 2019) demonstrating genuine commitment to maritime digitalization through consistent product development and 40% revenue growth, but lacks the multi-year track record, crisis-tested resilience, and scale that define strong infinite game players [1]. The founder-led culture and AI-enhanced product expansion are promising but unproven, and the company has not yet faced the strategic tests that reveal infinite versus finite thinking. At 40 employees and $14.7M revenue, it is too early to evaluate most infinite game criteria meaningfully.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iOThree's purpose of advancing maritime digital transformation to enhance safety, operational efficiency, and environmental compliance connects technology to meaningful outcomes, but does not describe a transformative future state that transcends the industry [2]. At seven years old and $14.7M in revenue, the company is far too young for the multi-decade validation Sinek demands. The mission reads as a well-articulated business strategy rather than a Just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40-person team is led by founder-CEO Kenny Koh with stable leadership since founding in 2019 [1]. At this size, organizations inherently operate with high trust and direct communication. The CEO's shareholder letter expressed appreciation for employee dedication and client trust, and headcount growth from 36 to 40 suggests retention stability. However, no specific evidence of employee empowerment practices, turnover data, or cultural programs exists to distinguish iOThree's trust level beyond what is expected for a small startup.</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iOThree competes against much larger maritime technology providers (Inmarsat, Marlink, Kongsberg Maritime) but company communications focus on iOThree's own growth and partnerships rather than competitive dynamics. No evidence of the worthy rival mindset — management does not reference learning from competitors'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iOThree has evolved from a pure satellite connectivity provider to a comprehensive maritime digitalization platform, adding AI analytics, edge computing, cybersecurity, IoT monitoring, and carbon reporting capabilities [2]. The expansion into AI partnerships and the development of proprietary solutions demonstrate strategic adaptation. These are incremental expansions within the maritime vertical rather than transformative pivots, but represent appropriate evolution for a seven-year-old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iOThree pursued a NASDAQ listing as a Singapore-based nano-cap — a costly, uncertain process demonstrating commitment to international credibility and access to growth capital [1]. The company invested in proprietary product development (V.Suite, JARVISS, F.R.I.D.A.Y.) and AI partnerships while operating at a loss, prioritizing capability building over short-term profitability. However, these are expected actions for a growth-stage company, not the kind of costly sacrifice Sinek's framework demands.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iOThree is a Singapore-based maritime digitalization nano-cap delivering accelerating growth — 40% YoY revenue increase to US$14.7M in FY2026 with gross profit surging 68.4% and margins expanding to 21.4% [1]. The Edge computing and AI analytics segment is driving acceleration as the company expands beyond satellite connectivity into higher-margin digital solutions. RINA classification approvals for proprietary products (V.Secure UR E27, F.R.I.D.A.Y. PMS) create regulatory moats in a maritime digitalization market growing alongside global carbon reporting and fleet optimization regulations [1]. AI partnerships with Seadronix (navigation) and Singfar Group (bunker operations) demonstrate early AI monetization capability [2]. D/E of 35.4% reflects conservative leverage with $3.1M cash against $1.6M debt, and the narrowing loss trajectory (-7.9% net margin on $14.7M revenue) suggests a path to profitability.</w:t>
      </w:r>
    </w:p>
    <w:p>
      <w:pPr>
        <w:spacing w:after="120"/>
      </w:pPr>
      <w:r>
        <w:rPr>
          <w:rFonts w:ascii="Calibri" w:hAnsi="Calibri"/>
          <w:b w:val="0"/>
          <w:color w:val="3A4A28"/>
          <w:sz w:val="20"/>
        </w:rPr>
        <w:t>The bear case centers on extreme illiquidity, scale risk, and unproven profitability. At $9.2M market cap and 40 employees, iOThree is a nano-cap competing against maritime technology providers with orders-of-magnitude greater resources [5]. While the 3-month average daily volume of 560K shares ($1.06M daily) barely passes the liquidity floor, the 10-day average volume has collapsed to just 15,400 shares ($29K daily), making the stock practically uninvestable and subject to extreme price volatility — the stock has already fallen 25% from $2.52 to $1.88 since August [5]. The $14.7M annual revenue base remains tiny, and the $1.2M net loss demonstrates the business model is not yet profitable at current scale [1]. No analyst coverage exists, forward estimates are unavailable, and the Singapore domicile with NASDAQ listing creates jurisdictional complexity for investors. Customer concentration risk is acute — a single lost contract could materially impair financial results. The stock's decline from $2.52 to $1.88 suggests deteriorating investor confidence despite improving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Shipboard digital bulletin board service and continued AI analytics platform expansion could accelerate the higher-margin digitalization revenue stream, improving the path from -7.9% net margin toward breakeven [1]</w:t>
      </w:r>
    </w:p>
    <w:p>
      <w:pPr>
        <w:spacing w:before="40" w:after="40"/>
        <w:ind w:left="283"/>
      </w:pPr>
      <w:r>
        <w:rPr>
          <w:rFonts w:ascii="Calibri" w:hAnsi="Calibri"/>
          <w:b/>
          <w:color w:val="4A6B25"/>
          <w:sz w:val="20"/>
        </w:rPr>
        <w:t xml:space="preserve">2. </w:t>
      </w:r>
      <w:r>
        <w:rPr>
          <w:rFonts w:ascii="Calibri" w:hAnsi="Calibri"/>
          <w:b w:val="0"/>
          <w:color w:val="3A4A28"/>
          <w:sz w:val="20"/>
        </w:rPr>
        <w:t>RINA classification approvals for proprietary solutions (V.Secure, F.R.I.D.A.Y. PMS) create regulatory moats and credibility for winning contracts with major shipping companies in the growing maritime compliance market [1]</w:t>
      </w:r>
    </w:p>
    <w:p>
      <w:pPr>
        <w:spacing w:before="40" w:after="40"/>
        <w:ind w:left="283"/>
      </w:pPr>
      <w:r>
        <w:rPr>
          <w:rFonts w:ascii="Calibri" w:hAnsi="Calibri"/>
          <w:b/>
          <w:color w:val="4A6B25"/>
          <w:sz w:val="20"/>
        </w:rPr>
        <w:t xml:space="preserve">3. </w:t>
      </w:r>
      <w:r>
        <w:rPr>
          <w:rFonts w:ascii="Calibri" w:hAnsi="Calibri"/>
          <w:b w:val="0"/>
          <w:color w:val="3A4A28"/>
          <w:sz w:val="20"/>
        </w:rPr>
        <w:t>North Asia market expansion backed by a two-year project pipeline, supported by structural demand for maritime digitalization, IMO carbon reporting mandates, and AI-driven fleet optimization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 practical illiquidity — 10-day average volume of only 15,400 shares ($29K daily) makes the stock functionally uninvestable despite the 3-month average barely passing the $1M liquidity floor; extreme daily price volatility is likely [5]</w:t>
      </w:r>
    </w:p>
    <w:p>
      <w:pPr>
        <w:spacing w:before="40" w:after="40"/>
        <w:ind w:left="283"/>
      </w:pPr>
      <w:r>
        <w:rPr>
          <w:rFonts w:ascii="Calibri" w:hAnsi="Calibri"/>
          <w:b/>
          <w:color w:val="4A6B25"/>
          <w:sz w:val="20"/>
        </w:rPr>
        <w:t xml:space="preserve">2. </w:t>
      </w:r>
      <w:r>
        <w:rPr>
          <w:rFonts w:ascii="Calibri" w:hAnsi="Calibri"/>
          <w:b w:val="0"/>
          <w:color w:val="3A4A28"/>
          <w:sz w:val="20"/>
        </w:rPr>
        <w:t>Nano-cap scale risk — $9.2M market cap, 40 employees, and $14.7M revenue leave the company with no margin for error against well-funded competitors like Inmarsat, Marlink, and Kongsberg Maritime [1][5]</w:t>
      </w:r>
    </w:p>
    <w:p>
      <w:pPr>
        <w:spacing w:before="40" w:after="40"/>
        <w:ind w:left="283"/>
      </w:pPr>
      <w:r>
        <w:rPr>
          <w:rFonts w:ascii="Calibri" w:hAnsi="Calibri"/>
          <w:b/>
          <w:color w:val="4A6B25"/>
          <w:sz w:val="20"/>
        </w:rPr>
        <w:t xml:space="preserve">3. </w:t>
      </w:r>
      <w:r>
        <w:rPr>
          <w:rFonts w:ascii="Calibri" w:hAnsi="Calibri"/>
          <w:b w:val="0"/>
          <w:color w:val="3A4A28"/>
          <w:sz w:val="20"/>
        </w:rPr>
        <w:t>Customer concentration and profitability risk — with $14.7M annual revenue and ongoing losses, the loss of a single major client or project delay could push the company into meaningful cash burn that threatens the $3.1M cash position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PROTECTED. iOThree's satellite connectivity business involves physical hardware installations on ships — satellite network equipment, edge computing devices, and shipboard IT infrastructure — that cannot be replaced by software or AI [2]. Vessels require physical connectivity infrastructure regardless of software evolution, and RINA classification approvals (IACS UR E27 type approval) create regulatory barriers to entry. The digitalization segment faces moderate exposure as AI-native competitors from larger maritime tech players could develop superior vessel monitoring or route optimization tools. However, the physical edge computing hardware requirement and regulatory certification moats provide meaningful protection [1]. AI Opportunity (1/1): iOThree generates early-stage AI revenue through V.SIGHT AI camera surveillance, multi-fuel optimization analytics, and commercial AI partnerships with Seadronix (navigation) and Singfar Group (bunker operations), representing genuine AI deployment in the maritime sector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N/A</w:t>
      </w:r>
      <w:r>
        <w:rPr>
          <w:rFonts w:ascii="Calibri" w:hAnsi="Calibri"/>
          <w:b/>
          <w:color w:val="B8860B"/>
          <w:sz w:val="20"/>
        </w:rPr>
        <w:t xml:space="preserve">    NOT RATED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iOThree Limited FY2026 Results and CEO Letter to Shareholders — Revenue $14.7M (+40%), Gross Profit $3.2M (+68.4%), Net Loss $1.2M, North Asia Pipeline; Investing.com, StockTitan, NASDAQ Press Release, July 2026</w:t>
      </w:r>
    </w:p>
    <w:p>
      <w:pPr>
        <w:spacing w:before="20" w:after="20"/>
        <w:ind w:left="170"/>
      </w:pPr>
      <w:r>
        <w:rPr>
          <w:rFonts w:ascii="Calibri" w:hAnsi="Calibri"/>
          <w:b/>
          <w:color w:val="4A6B25"/>
          <w:sz w:val="15"/>
        </w:rPr>
        <w:t xml:space="preserve">2. </w:t>
      </w:r>
      <w:r>
        <w:rPr>
          <w:rFonts w:ascii="Calibri" w:hAnsi="Calibri"/>
          <w:b w:val="0"/>
          <w:color w:val="3A4A28"/>
          <w:sz w:val="17"/>
        </w:rPr>
        <w:t>iOThree Corporate Profile — JARVISS Platform, V.Suite Digital Solutions, AI Partnerships (Seadronix, Singfar), RINA/ISO Certifications; io3.sg, SEC 20-F Filing,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iOThree ESG Disclosure — Climate Risk Acknowledgment, ESG Strategy Awareness in SEC Filings; SEC Form 20-F FY2026</w:t>
      </w:r>
    </w:p>
    <w:p>
      <w:pPr>
        <w:spacing w:before="20" w:after="20"/>
        <w:ind w:left="170"/>
      </w:pPr>
      <w:r>
        <w:rPr>
          <w:rFonts w:ascii="Calibri" w:hAnsi="Calibri"/>
          <w:b/>
          <w:color w:val="4A6B25"/>
          <w:sz w:val="15"/>
        </w:rPr>
        <w:t xml:space="preserve">4. </w:t>
      </w:r>
      <w:r>
        <w:rPr>
          <w:rFonts w:ascii="Calibri" w:hAnsi="Calibri"/>
          <w:b w:val="0"/>
          <w:color w:val="3A4A28"/>
          <w:sz w:val="17"/>
        </w:rPr>
        <w:t>iOThree Financial Metrics — D/E 35.35%, Total Debt $1.6M, Cash $3.1M, ROE -37.4%; Simply Wall St, Yahoo Finance,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IOTR: Stock Price $1.885, Market Cap $9.2M, 3-Month Avg Volume 560K, 10-Day Avg Volume 15.4K;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